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ATAS/564/2010 vom 20. Mai 2010</w:t>
      </w:r>
    </w:p>
    <w:p>
      <w:r>
        <w:t>GE Cour de justice, 2010-05-20, FR</w:t>
      </w:r>
    </w:p>
    <w:p>
      <w:r>
        <w:rPr>
          <w:b/>
        </w:rPr>
        <w:t xml:space="preserve">Quelle: </w:t>
      </w:r>
      <w:r>
        <w:t>https://mcp.opencaselaw.ch/entscheid/ge_gerichte_ATAS_564_2010</w:t>
      </w:r>
    </w:p>
    <w:p>
      <w:r>
        <w:t>FR: GE_GERICHTE ATAS/564/2010 du 20 mai 2010</w:t>
      </w:r>
    </w:p>
    <w:p>
      <w:r>
        <w:t>IT: GE_GERICHTE ATAS/564/2010 del 20 maggio 2010</w:t>
      </w:r>
    </w:p>
    <w:p>
      <w:pPr>
        <w:pStyle w:val="Heading2"/>
      </w:pPr>
      <w:r>
        <w:t>Regeste</w:t>
      </w:r>
    </w:p>
    <w:p>
      <w:r>
        <w:t>Résumé: L'annexe 1 de l'ordonnance du DFI sur les prestations dans l'assurance obligatoire des soins en cas de maladie du 29 septembre 1995 (OPAS) énumère les prestations dont l'efficacité, l'adéquation ou le caractère économique ont été examinés par la Commission des prestations et dont les coûts sont ou ne sont pas pris en charge par l'assurance obligatoire des soins. Cette liste a un caractère exhaustif et contraignant. En l'espèce, les compléments alimentaires prescrits (produits vitaminés, protéiniques et oligo-éléments) ne figurent pas dans la liste des spécialités, dès lors qu'ils sont pris par voie orale. Or, les motifs retenus par la Commission pour exclure la prise en charge n'étant fondés sur aucune considération médicale, ils ne sont pas propres à lier le Tribunal et ce dernier peut donc examiner librement le caractère efficace, adéquat et économique du traitement prescrit (32 LAMaL). Ces conditions sont en l'espèce réalisées, le complément alimentaire en cause étant vital pour l'assuré et la pose d'une sonde n'étant par ailleurs pas exigible à l'endroit de l'assuré. Enfin, sous l'angle économique, ce traitement s'inscrit dans un rapport raisonnable avec le but poursuivi.</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La LPGA, entrée en vigueur le 1er janvier 2003, est applicable au cas d’espèce.</w:t>
      </w:r>
    </w:p>
    <w:p>
      <w:r>
        <w:t>A/1682/2008 - 7/13 -</w:t>
      </w:r>
    </w:p>
    <w:p>
      <w:r>
        <w:rPr>
          <w:b/>
        </w:rPr>
        <w:t>E. 3</w:t>
      </w:r>
    </w:p>
    <w:p>
      <w:r>
        <w:t>Le litige porte sur le remboursement par l'assurance de base des compléments de protéines, de vitamines et d'oligo-éléments pris par voie orale.</w:t>
      </w:r>
    </w:p>
    <w:p>
      <w:r>
        <w:rPr>
          <w:b/>
        </w:rPr>
        <w:t>E. 4</w:t>
      </w:r>
    </w:p>
    <w:p>
      <w:r>
        <w:t>Selon l'art. 25 LAMal, l’assurance obligatoire des soins assume le coût des prestations qui servent à diagnostiquer ou à traiter une maladie et ses séquelles. Ces prestations comprennent notamment les analyses, médicaments, moyens et appareils diagnostiques ou thérapeutiques prescrits par un médecin ou, dans les limites fixées par le Conseil fédéral, par un chiropraticien. Les prestations mentionnées à l'art. 25 LAMal doivent être efficaces, appropriées et économiques. L'efficacité, l'adéquation et le caractère économique des prestations sont réexaminés périodiquement (art. 32 al. 2 LAMal).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w:t>
      </w:r>
    </w:p>
    <w:p>
      <w:r>
        <w:rPr>
          <w:b/>
        </w:rPr>
        <w:t>E. 5</w:t>
      </w:r>
    </w:p>
    <w:p>
      <w:r>
        <w:t>Sur la base de la délégation de compétence de l’art. 33 al. 1 et 5 LAMal, le Conseil fédéral, soit pour lui le département fédéral de l’intérieur, a établi la liste des prestations fournies par des médecins dont les coûts n’étaient pas à la charge de l’assurance obligatoire ou ne l’étaient qu’à certaines conditions (art. 33 let. a OAMal ; art. 1 et annexe 1 OPAS). Les assureurs ne peuvent, au titre de l’assurance obligatoire, prendre en charge d’autres frais que ceux prévus par la loi (art. 34 al. 1 LAMal).</w:t>
      </w:r>
    </w:p>
    <w:p>
      <w:r>
        <w:t>A/1682/2008 - 8/13 - Conformément à l'art. 52 al. 1 let. b LAMal (en corrélation avec les art. 34 et 37e OAMal), l'office, après avoir consulté la Commission fédérale des médicaments et conformément aux principes des art. 32 al. 1 et 43 al. 6 LAMal, établit une liste, avec des prix, des préparations pharmaceutiques et des médicaments confectionnés (liste des spécialités). Aux termes de l'art. 73 OAMal, l'admission dans une liste peut être assortie d'une limitation; celle-ci peut notamment se rapporter à la quantité ou aux indications médicales. De telles limitations constituent des instruments de contrôle de l'économicité et non pas une forme de rationalisation des prestations (RAMA 2001 n° KV 158 p. 158 consid. 2d; Eugster, Krankenversicherung, in : Schweizerisches Bundesverwaltungsrecht (SBVR), Soziale Sicherheit, p. 101, n. 436). Elles ont également pour but d'exclure ou de limiter la possibilité d'utiliser de manière abusive des médicaments de la liste des spécialités ( ATF 129 V 42 consid.</w:t>
      </w:r>
    </w:p>
    <w:p>
      <w:r>
        <w:rPr>
          <w:b/>
        </w:rPr>
        <w:t>E. 5.2</w:t>
      </w:r>
    </w:p>
    <w:p>
      <w:r>
        <w:t>in fine (Viagra); RAMA 2004 n° KV 272 p. 113 consid. 3.3.1; cf. aussi ATF 128 V 167 consid. 5c/bb/bbb ). Selon la jurisprudence, la liste des spécialités a un caractère à la fois exhaustif et contraignant (cf. ATF 128 V 161 consid. 3b/bb). D'une part, les coûts des médicaments qui ne sont pas mentionnés dans la liste ne doivent en principe pas être pris en charge par l'assurance obligatoire des soins (RAMA 2004 n° KV 272 p. 112 consid. 3.2.1 et l'arrêt cité; SVR 2004 KV n° 9 p. 30 consid. 4.2, non publié dans la RAMA 2004 n° KV 276 p. 143). D'autre part, au regard du système de listes déduit de l'art. 34 al. 1 LAMal (cf. à ce sujet, ATF 125 V 29 consid. 5b; RAMA 2002 n° KV 196 p. 9 consid. 3b/cc, 2001 n° KV 158 p. 159 consid. 4b et les références), la liste des spécialités contient une énumération exhaustive des différentes positions. Ainsi, lorsqu'un médicament est inclus dans la liste des spécialités avec une limitation de son utilisation à des indications déterminées, on ne saurait admettre un devoir de prester par un raisonnement analogique si le médicament est prescrit en vue d'autres indications que celles figurant dans la liste, à moins que celle-ci ne prévoie - par l'emploi du terme "etc." - la possibilité d'un complément par les autorités d'application (ATF 125 V 30 consid. 6a; cf. RAMA 2002 n° KV 196 p. 11 consid. 3c/aa in fine et les références). Un médicament utilisé pour d'autres indications que celles énoncées, sous forme de limitation, dans la liste des spécialités doit être considéré comme un médicament "hors liste" (sous l'empire de la LAMA: ATF 118 V 279 consid. 2b in fine) et n'est, partant, pas soumis à l'obligation de remboursement de l'assurance obligatoire des soins (arrêt A. et B. du 17 mars 2003, K 123/02). Comme l'a jugé le TFA, la réglementation nouvelle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 maladie, à tout le moins en ce qui concerne les prestations énumérées</w:t>
      </w:r>
    </w:p>
    <w:p>
      <w:r>
        <w:t>A/1682/2008 - 9/13 - conformément à l'art. 33 al. 1 LAMal (ATF 130 V 532; 129 V 167, consid. 5b ; K63/2004).</w:t>
      </w:r>
    </w:p>
    <w:p>
      <w:r>
        <w:rPr>
          <w:b/>
        </w:rPr>
        <w:t>E. 6</w:t>
      </w:r>
    </w:p>
    <w:p>
      <w:r>
        <w:t>L'annexe 1 de l'Ordonnance du DFI sur les prestations dans l’assurance obligatoire des soins en cas de maladie, du 29 septembre 1995 (Ordonnance sur les prestations de l’assurance des soins, OPAS ; RS 832.112.31) énumère les prestations dont l'efficacité, l'adéquation ou le caractère économique ont été examinés par la Commission des prestations (art. 37d al. 1 OAMal - ci-après la Commission) et dont les coûts sont pris en charge, le cas échéant à certaines conditions, ou ne sont pas pris en charge par l'assurance obligatoire des soins. Cette commission d'experts, composée notamment de médecins et de représentants des assurés et des assureurs (art. 37d al. 2 OAMal) examine les demandes de prise en charge des coûts d'une nouvelle prestation déposées en principe par un offreur (fabriquant, hôpital ou groupe hospitalier, société médicale) et vérifie que ces prestations soient efficaces, appropriées et économiques, et que leur efficacité soit démontrée selon des méthodes scientifiques. Le dispositif d'évaluation s'inscrit dans un processus décisionnel clairement défini, qui aboutit régulièrement à des modifications de l'OPAS et de ses annexes. Il est fondé sur la preuve scientifique de l'efficacité et sur l'exposé transparent des risques et des effets secondaires de la nouvelle prestation, ainsi que sur l'impact financier de sa prise en charge éventuelle (OFSP, Manuel pour la présentation de demandes de prise en charge par l'assurance de prestations nouvelles ou controversées, mai 2008).</w:t>
      </w:r>
    </w:p>
    <w:p>
      <w:r>
        <w:rPr>
          <w:b/>
        </w:rPr>
        <w:t>E. 7</w:t>
      </w:r>
    </w:p>
    <w:p>
      <w:r>
        <w:t>Ces principes ont guidé le Tribunal fédéral, notamment dans un arrêt du 16 septembre 2003 (K 46/2003) relatif à la prise en charge des coûts du médicament XENICAL. Ce médicament figure dans la liste des spécialités avec une limitation thérapeutique (indice de masse corporelle de 35 au moins) qui n'était pas réalisée dans le cas qui lui était soumis. L'intéressée y alléguait que la limite ne pouvait lui être opposée compte tenu des circonstances particulières de son cas. Le TF a rappelé qu'il faisait preuve d'une très grande retenue dans le contrôle de la légalité de limitations ou d'indications dans la liste des spécialités (RAMA 2001 n° KV 158 p. 159 consid. 4b et les références) et qu'en l'occurrence, il n'y avait pas de motif de mettre en doute le bien-fondé de la limitation en cause. Celle-ci avait pour but de prévenir tout risque d'abus pouvant résulter d'une prise en charge par les assureurs du médicament sans indication médicale clairement définie (RAMA 2000 n° KV 120 p. 164 consid. 3c/aa). Le TF a en outre précisé que s'écarter de la limite requise reviendrait à substituer au critère quantitatif retenu d'autres indications à caractère médical, ce qui n'était pas le rôle du juge, du moins aussi longtemps que le critère fixé n'apparaissait pas insoutenable (cf. également ATAS/203/2007). Il y a lieu de constater que selon la jurisprudence, les avis de la Commission lient en principe le juge, lorsqu'il s'agit d'apprécier des situations qui relèvent exclusivement de considérations d'ordre médical. Le juge n'est en effet</w:t>
      </w:r>
    </w:p>
    <w:p>
      <w:r>
        <w:t>A/1682/2008 - 10/13 - généralement pas en mesure de se prononcer sur la pertinence des conclusions auxquelles sont arrivés les spécialistes en la matière. Aussi doit-il alors s'en remettre à l'opinion de ceux-ci, à moins qu'elle ne paraisse insoutenable (ATF 114 V 23 consid. 1b, ATF 113 V 46 consid. 4d/cc, ATF 112 V 306 consid. 2c). Le TF s'en est ainsi tenu à l'avis de la Commission dans un cas d'amniocentèse (ATF 112 V 303), parce que la question relevait exclusivement de considérations médicales, dans un cas de procréation artificielle par fécondation in vitro et transfert d'embryon (ATF 113 V 42), au motif que la FIVETE ne répondait pas à la définition jurisprudentielle de la mesure scientifiquement reconnue (cf. également ATF 108 V 253) et dans un cas de thérapie musicale (ATF 114 V 22). Il s'en est en revanche écarté, s'agissant d'actes chirurgicaux en relation avec l'opération de changement de sexe (ATF 114 V 153 et 162), après avoir constaté que l'opinion des spécialistes ne se fondait pas, en l'occurrence, sur des considérations d'ordre strictement médical, propres à lier le tribunal, mais surtout sur des appréciations générales ou de nature juridique, que ce dernier revoit librement. Le TF a à cet égard rappelé que lorsqu'il se prononce sur le caractère scientifiquement reconnu d'un traitement déterminé, le département fédéral - qui se fait conseiller par une commission de spécialistes - dispose d'une certaine latitude de jugement. C'est pourquoi sa décision ne sera déclarée inapplicable, parce que contraire à la loi, par le juge des assurances sociales que si elle résulte d'une appréciation manifestement erronée, par exemple en cas d'arbitraire dans l'appréciation du caractère scientifiquement reconnu d'une mesure. Le TF a considéré que l'opération de changement de sexe, en tant que traitement d'une affection de nature psychique par l'ablation de certains organes, était de nos jours largement admise par le corps médical et pratiquée en général avec succès, de sorte que son caractère scientifiquement reconnu ne pouvait en principe plus être nié. Datant de l'époque à laquelle la pratique de ce genre d'opération en cas de transsexualisme avait à peine commencé à se répandre, la jurisprudence rendue en 1979 n'était plus adaptée, ni aux circonstances nouvelles ni aux conceptions juridiques actuelles, ce qui justifiait qu'elle soit modifiée (cf. ATF 110 V 124 consid. 2e et les références).</w:t>
      </w:r>
    </w:p>
    <w:p>
      <w:r>
        <w:rPr>
          <w:b/>
        </w:rPr>
        <w:t>E. 8</w:t>
      </w:r>
    </w:p>
    <w:p>
      <w:r>
        <w:t>Les compléments alimentaires, prescrits à l'assurée, ne figurent pas sur la liste des spécialités, parce qu'ils sont pris oralement. Seuls ceux administrés par voie de sonde le sont. C'est la raison pour laquelle la caisse-maladie a refusé de les prendre en charge.</w:t>
      </w:r>
    </w:p>
    <w:p>
      <w:r>
        <w:rPr>
          <w:b/>
        </w:rPr>
        <w:t>E. 9</w:t>
      </w:r>
    </w:p>
    <w:p>
      <w:r>
        <w:t>Il ressort du procès-verbal établi lors de sa séance du 14 février 2002 qu'en substance la Commission des spécialistes a écarté de la prise en charge par l'assurance de base l'alimentation entérale, soit celle qui se fait directement dans l'estomac par la voie digestive, pour les motifs suivants :</w:t>
      </w:r>
    </w:p>
    <w:p>
      <w:r>
        <w:t>A/1682/2008 - 11/13 - - l'alimentation artificielle ne coûte pas beaucoup plus cher en moyenne que l'alimentation "normale". - il y a un risque que dans les EMS, l'alimentation de cette nature soit favorisée, dans l'unique but d'économiser sur les frais de personnel. - une grande quantité de produits de ce type risque d'inonder le marché suisse. 80% des coûts sont déjà financés par les assurances complémentaires. - il est parfois difficile de distinguer médicaments et aliments. - la liste des indications est très grande, de sorte qu'il n'y aurait pas de garde-fou et que contenir les coûts deviendrait difficile, voire impossible. Force est de constater que les motifs retenus par la Commission des spécialistes ne sont fondés sur aucune considération médicale, mais principalement sur la question de manque de contrôle des coûts. Les objections portent sur les risques d'abus. A cet égard, la commission n'a pas avancé d'arguments clairs et convaincants qui justifieraient d'exclure cette alimentation spéciale de la prise en charge par l'assurance de base uniquement parce qu'elle est prise par voie orale. Il suffirait en effet pour limiter les risques d'abus, ainsi que l'a suggéré du reste le médecin traitant de l'assurée, de procéder à des évaluations de cas en cas, afin que la prise en charge ne puisse intervenir qu'en cas d'indication médicale clairement définie.</w:t>
      </w:r>
    </w:p>
    <w:p>
      <w:r>
        <w:rPr>
          <w:b/>
        </w:rPr>
        <w:t>E. 10</w:t>
      </w:r>
    </w:p>
    <w:p>
      <w:r>
        <w:t>En conclusion, l'avis de la commission des spécialistes ne se fondant pas sur des considérations d'ordre strictement médical, propres à lier le Tribunal de céans, mais surtout sur des appréciations générales ou de nature juridique que le tribunal revoit librement, et qui ne peuvent en l'occurrence être suivies, ne sera pas dans le cas d'espèce pris en considération.</w:t>
      </w:r>
    </w:p>
    <w:p>
      <w:r>
        <w:rPr>
          <w:b/>
        </w:rPr>
        <w:t>E. 11</w:t>
      </w:r>
    </w:p>
    <w:p>
      <w:r>
        <w:t>Le TF a eu l'occasion de préciser que lorsqu'un produit ne figure pas sur l'une des trois listes positives (LAnam, LiMA et liste des spécialités) et que l'assureur- maladie est, de ce seul fait, en droit d'opposer un refus à l'assuré, il n'y a pas lieu d'examiner les exigences d'efficacité, d'adéquation et du caractère économique de l'art. 32 LAMal (K 147/06). A contrario, cet examen s'impose si l'on entend s'écarter des conclusions de la commission des spécialistes dans un cas d'espèce.</w:t>
      </w:r>
    </w:p>
    <w:p>
      <w:r>
        <w:rPr>
          <w:b/>
        </w:rPr>
        <w:t>E. 12</w:t>
      </w:r>
    </w:p>
    <w:p>
      <w:r>
        <w:t>La caisse-maladie ne conteste pas que d'un point de vue médical, l'apport d'une substitution vitaminique, protéique et d'oligo-éléments soit nécessaire pour l'assurée. On peut tenir pour établi que le complément alimentaire dont bénéficie l'assurée est efficace et indiqué médicalement. Il est même vital selon le Professeur L__________ et le médecin traitant. Il appert de la partie en fait qui précède que les compléments nutritifs sont en principe administrés oralement, sauf indications médicales contraires, par exemple</w:t>
      </w:r>
    </w:p>
    <w:p>
      <w:r>
        <w:t>A/1682/2008 - 12/13 - en cas d'intestin grêle court ou encore si le complément n'est pas absorbé correctement. La voie naturelle est ainsi toujours privilégiée. La Doctoresse N__________ a du reste expliqué, lors de son audition le 2 février 2010, les difficultés liées à la pose d'une sonde nasale ou d'une sonde de gastrostomie. Il apparaît ainsi que la pose d'une sonde est un geste médical qui doit être accompli selon une indication médicale précise dans la mesure où, en l'espèce, l'administration orale est possible, et est par conséquent la seule indiquée. Il ne serait raisonnablement pas exigible d'astreindre l'assurée à la pose d'une sonde. Le Tribunal de céans relève au surplus que tant le Professeur L__________ que la Doctoresse N__________ considèrent que, sous l'angle médical, la différence opérée par l'Office fédéral de la santé publique de prise en charge entre l'administration par voie de sonde et l'administration par voie orale ne se justifie pas. S'agissant du critère de l'économicité, il s'avère que l'alimentation par voie de sonde serait plus onéreuse dans la mesure où elle nécessite notamment l'assistance d'une infirmière, etc. Quoi qu'il en soit, selon le TFA, le but du traitement médical dans les limites de l'assurance-maladie est d'éliminer de la manière la plus complète possible les atteintes physiques ou psychiques à la santé (ATF 111 V 234 consid. 3b). Les caisses-maladie doivent donc prendre en charge même des mesures coûteuses lorsqu'il n'existe pas d'autres méthodes de traitement ou à tout le moins pas de méthode plus économique et que le coût de la mesure est acceptable au regard du principe de la proportionnalité (ATF 109 V 43 consid. 2b). Il n'est ainsi pas contestable que, dans ce cas très particulier, les critères d'efficacité, d'adéquation et d'économicité, au sens de l'art. 32 LAMal, sont réalisés s'agissant du complément nutritif pris oralement. Aussi le recours est-il admis.</w:t>
      </w:r>
    </w:p>
    <w:p>
      <w:r>
        <w:t>A/1682/2008 - 13/13 -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