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ATAS/563/2017 vom 22. Juni 2017</w:t>
      </w:r>
    </w:p>
    <w:p>
      <w:r>
        <w:t>GE Cour de justice, 2017-06-22, FR</w:t>
      </w:r>
    </w:p>
    <w:p>
      <w:r>
        <w:rPr>
          <w:b/>
        </w:rPr>
        <w:t xml:space="preserve">Quelle: </w:t>
      </w:r>
      <w:r>
        <w:t>https://mcp.opencaselaw.ch/entscheid/ge_gerichte_ATAS_563_2017</w:t>
      </w:r>
    </w:p>
    <w:p>
      <w:r>
        <w:t>FR: GE_GERICHTE ATAS/563/2017 du 22 juin 2017</w:t>
      </w:r>
    </w:p>
    <w:p>
      <w:r>
        <w:t>IT: GE_GERICHTE ATAS/563/2017 del 22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respectant les forme et délai prévus par la loi (art. 56ss LPGA), il y a lieu de le déclarer recevable.</w:t>
      </w:r>
    </w:p>
    <w:p>
      <w:r>
        <w:rPr>
          <w:b/>
        </w:rPr>
        <w:t>E. 3</w:t>
      </w:r>
    </w:p>
    <w:p>
      <w:r>
        <w:t>Il n’est pas contesté que, depuis la décision initiale du 19 décembre 2005, l’état de santé de l’assurée s’est aggravé au point de ne plus lui permettre d’exercer la moindre activité lucrative. Quant au statut d’active de la recourante, l’intimé a</w:t>
      </w:r>
    </w:p>
    <w:p>
      <w:r>
        <w:t>A/3486/2016 - 8/13 - admis qu’il convenait de le fixer à 23%. Seule reste donc litigieuse la question du degré d’invalidité de la recourante dans la sphère ménagère.</w:t>
      </w:r>
    </w:p>
    <w:p>
      <w:r>
        <w:rPr>
          <w:b/>
        </w:rPr>
        <w:t>E. 4</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w:t>
      </w:r>
    </w:p>
    <w:p>
      <w:r>
        <w:rPr>
          <w:b/>
        </w:rPr>
        <w:t>E. 5</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w:t>
      </w:r>
    </w:p>
    <w:p>
      <w:r>
        <w:rPr>
          <w:b/>
        </w:rPr>
        <w:t>E. 6</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A/3486/2016 - 9/13 -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A/3486/2016 - 10/13 - l'expert (ATF 125 V 353 consid. 3b/ee, ATFA non publié du 13 mars 2000, I 592/99, consid. b/ee).</w:t>
      </w:r>
    </w:p>
    <w:p>
      <w:r>
        <w:rPr>
          <w:b/>
        </w:rPr>
        <w:t>E. 7</w:t>
      </w:r>
    </w:p>
    <w:p>
      <w:r>
        <w:t>En l’occurrence, la recourante conteste l’empêchement retenu dans la sphère ménagère. a. C’est le lieu de rappeler qu’en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b. En l’espèce, contrairement à ce qu’allègue la recourante, il n’existe aucun élément permettant de mettre en doute la valeur probante et les conclusions de l’enquête ménagère. Certes, plusieurs enquêtes ont été diligentées entre 2005 et 2015, qui ont abouti à des résultats différents, ce dont on ne saurait tirer de conclusions quant à leur crédibilité puisque, précisément, elles se sont échelonnées sur une période de dix ans. Quoi qu’il en soit, seule la dernière enquête est déterminante à ce stade. Ainsi que le fait remarquer l’intimé, c’est elle qui retient le taux d’empêchement le plus élevé, ce qui est cohérent au vu de la péjoration de l’état de santé de la recourante au fil du temps.</w:t>
      </w:r>
    </w:p>
    <w:p>
      <w:r>
        <w:t>A/3486/2016 - 11/13 - Comme le fait également remarquer l’intimé, cette enquête a été effectuée par une professionnelle de la santé parfaitement au courant du dossier médical de l’assurée puisqu’elle a mentionné les principales atteintes à la santé dans son rapport. Au surplus, l’assurée n’amène aucun élément objectif permettant de contester les empêchements retenus par l’enquêtrice dans les différents postes. A cet égard, elle se contente de substituer son appréciation à celle de l’enquêtrice. Ainsi, s’agissant de la rubrique « alimentation », elle reproche à l’enquêtrice de n’avoir retenu qu’un empêchement de 55% alors que, selon le CEMed, elle ne fait qu’éplucher quelques légumes pour la préparation des repas. Les médecins du CEMed ne se sont toutefois jamais déterminés sur la capacité ou l’incapacité de la recourante à effectuer ses différentes tâches ménagères, ce qui relève précisément de la compétence de l’enquêtrice. Les médecins se sont contentés de relater ce que l’assurée leur indiquait. Pour le reste, ils ont défini un certain nombre de limitations en relation avec l’activité habituelle. À cet égard, il convient de rappeler que l’assurée ne peut tirer argument du fait qu’une incapacité totale lui a été reconnue dans son ancienne activité professionnelle de femme de ménage ou de nettoyeuse. En effet, selon la jurisprudence, une activité de nettoyeuse professionnelle ou de femme de ménage ne saurait être comparée à la tenue du foyer familial qui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(cf. arrêt I 593/03 du 13 avril 2005 consid. 5.3). D’autant que, pour satisfaire au devoir de réduire le dommage (cf. ATF 123 V 233 consid. 3c et les références), une personne qui s'occupe du ménage est tenue de faire ce que l'on peut raisonnablement attendre d'elle afin d'améliorer sa capacité, par exemple en adoptant une méthode de travail adaptée ou en recourant précisément à l'aide des membres de sa famille dans la mesure habituelle (Meyer-Blaser, Rechtsprechung des Bundesgerichts zum IVG, Zurich 1997, p. 222). Pour en revenir au poste « alimentation », l’enquêtrice relève que, comme c’était déjà le cas auparavant, l’assurée dit pouvoir aider à la préparation, voire même préparer un repas simple. La plupart du temps, c’est son époux qui prépare le repas, comme c’était déjà le cas avant l’atteinte à la santé. Dans ces conditions, l’empêchement de 55% retenu ne paraît pas discutable, d’autant que, toujours selon la jurisprudence, on peut admettre que la préparation des repas soit facilitée par l’achat de produits alimentaires prêts à l’emploi (arrêts I 308/04 et I 309/04 du 14 janvier 2005 consid. 6.3.2.1).</w:t>
      </w:r>
    </w:p>
    <w:p>
      <w:r>
        <w:t>A/3486/2016 - 12/13 - La recourante argue qu’elle est par ailleurs totalement incapable de passer l’aspirateur, de repasser ou d’entretenir les sols et conteste dès lors l’empêchement de 75% retenu au titre de l’entretien du logement. Selon elle, c’est un empêchement de 90% au minimum qui devrait être retenu. A cet égard, l’enquêtrice a relevé que l’assurée pouvait encore enlever la poussière à sa hauteur et nettoyer les lavabos. Le degré d’empêchement retenu ne paraît dès lors pas non plus arbitraire. Il en va de même du taux d’empêchement de 60% retenu pour les courses, puisque la recourante peut se rendre au supermarché à proximité pour de petites courses. Quant à l’empêchement de 60% retenu pour la lessive, il correspond au fait que la recourante puisse s’occuper du tri du linge et plier celui-ci. Enfin, s’agissant des activités quotidiennes, rien n’indique qu’un empêchement de plus 20% se justifierait dans la mesure où si l’assurée a dû renoncer au crochet, elle reste capable de garder l’un de ses petits-enfants une demi-journée par semaine, de lire et de regarder la télévision. Pour le surplus, de façon générale, on rappellera que découle de l’obligation de réduire le dommage, celle de tenir compte de l’aide que peuvent apporter les proches à l’assurée, en l’occurrence, non seulement son mari mais également sa belle-fille. A ce propos, on notera que l’époux de la recourante avait déjà pour habitude de se charger des repas et des tâches administratives avant l’apparition de l’atteinte à la santé et qu’aucun élément au dossier ne permet de retenir que les efforts qu’il continue de fournir concrètement aujourd’hui serait en réalité au- dessus de ses forces ou de ses capacités. Même en admettant une diminution de l’aide exigible à 20% pour tenir compte de l’âge avancé du mari de la recourante, cela ne conduit à aucun changement en termes de droit à la rente (34% d’empêchement conduisant à un degré d’invalidité de 26.18% s’ajoutant aux 23% de la sphère professionnelle, soit un degré d’invalidité global de 49.18%). On ne saurait en tout cas souscrire au degré de 15% d’aide exigible suggéré par la recourante, dans la mesure où elle dispose non seulement de l’aide de son mari, mais également de celle de sa belle-fille. Au vu de ce qui précède, le recours, mal fondé, doit être rejeté.</w:t>
      </w:r>
    </w:p>
    <w:p>
      <w:r>
        <w:t>A/3486/2016 - 13/13 -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