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ATAS/562/2020 vom 30. Juni 2020</w:t>
      </w:r>
    </w:p>
    <w:p>
      <w:r>
        <w:t>GE Cour de justice, 2020-06-30, FR</w:t>
      </w:r>
    </w:p>
    <w:p>
      <w:r>
        <w:rPr>
          <w:b/>
        </w:rPr>
        <w:t xml:space="preserve">Quelle: </w:t>
      </w:r>
      <w:r>
        <w:t>https://mcp.opencaselaw.ch/entscheid/ge_gerichte_ATAS_562_2020</w:t>
      </w:r>
    </w:p>
    <w:p>
      <w:r>
        <w:t>FR: GE_GERICHTE ATAS/562/2020 du 30 juin 2020</w:t>
      </w:r>
    </w:p>
    <w:p>
      <w:r>
        <w:t>IT: GE_GERICHTE ATAS/562/2020 del 30 giugno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rPr>
          <w:b/>
        </w:rPr>
        <w:t>E. 3</w:t>
      </w:r>
    </w:p>
    <w:p>
      <w:r>
        <w:t>Interjeté dans la forme et le délai prévus par la loi, compte tenu de la suspension des délais du 7e jour avant Pâques au 7e jour après Pâques inclusivement (art. 38 al. 4 let. a LPGA et art. 89C let. a LPA), le recours est recevable (art. 56 ss LPGA et 62 ss LPA).</w:t>
      </w:r>
    </w:p>
    <w:p>
      <w:r>
        <w:rPr>
          <w:b/>
        </w:rPr>
        <w:t>E. 4</w:t>
      </w:r>
    </w:p>
    <w:p>
      <w:r>
        <w:t>a.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ATF 125 V 413 consid. 1a; arrêt du Tribunal fédéral des assurances K 126/06 du 15 juillet 2007 consid. 3.1). Le juge n'entre donc pas en matière, en règle générale, sur des conclusions qui vont au-delà de l'objet de la contestation (ATF 125 V 413 consid. 1a; arrêt du Tribunal fédéral 8C_164/2009 du 18 mars 2010 consid. 2.1). La chambre de céans n’est pas liée par les motifs avancés par les parties (art. 69 al. 1 phr. 2 et 89A LPA), ni par leurs conclusions (art. 61 let. d LPGA et 89E LPA). b. En l’espèce, le litige porte sur le droit du recourant aux prestations de l’intimé. Dans la mesure où il a contesté dans son recours le taux d’invalidité retenu par l’intimé, estimant avoir des limitations fonctionnelles plus étendues que celles prises en compte par celui-ci, l’objet du litige est en particulier sur le taux d’invalidité. Même si le recourant n’a conclu dans son recours qu’à des mesures de réadaptation et qu’il n’a requis que dans un second temps une demi-rente d’invalidité, la chambre de céans est compétente pour examiner ces deux prestations, dont l’octroi dépend notamment du taux d’invalidité, objet principal du litige, étant rappelé qu’elle n’est pas liée par les conclusions des parties.</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w:t>
      </w:r>
    </w:p>
    <w:p>
      <w:r>
        <w:t>A/1863/2019 - 12/23 -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5.2</w:t>
      </w:r>
    </w:p>
    <w:p>
      <w:r>
        <w:t>et les références). Selon l’art. 29bis RAI,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let. b LAI, celle qui a précédé le premier octroi. Cette disposition s’applique seulement lorsque l’atteinte à la santé qui a donné naissance au droit s’est réactivée et provoque un regain d’invalidité de degré élevé qui a duré plus de trente jours consécutifs au moins. Il en va de même lorsque la rente avait été refusée en raison d’un degré d’invalidité insuffisant et qu’il y a par la suite une aggravation de l’état de santé. Il s’agit alors d’un nouveau cas d’assurance, de sorte que le délai d’attente de 365 jours recommence à courir (arrêt du Tribunal fédéral 9C_942/2015 du 18 février 2016 consid. 3.3.2 ; Michel VALTERIO, Commentaire, Loi fédérale sur l'assurance-invalidité (LAI), 2018, ad art. 28 n. 18, p. 393). La survenance d'une atteinte à la santé totalement différente de celle qui prévalait au moment du refus de la première demande de prestations et propre, par sa nature et sa gravité, à causer une incapacité de travail de 40% au moins en moyenne sur une année a, compte tenu de l'absence de connexité matérielle avec la situation de fait prévalant au moment du refus de la première demande de prestations, pour effet de créer un nouveau cas d'assurance (ATF 136 V 369 consid. 3.1 p. 373 et les références; arrêt 9C_294/2013 du 20 août 2013 consid. 4.1 et les références, in SVR 2013 IV n° 45 p. 138; voir également MEYER/REICHMUTH, Bundesgesetz über die Invalidenversicherung [IVG], 3ème éd. 2014, n. 138 ad art. 4 LAI).</w:t>
      </w:r>
    </w:p>
    <w:p>
      <w:r>
        <w:t>A/1863/2019 - 18/23 - Le fait que deux atteintes coexistent à un moment donné ne suffit pas à retenir un unique délai de carence (arrêt du Tribunal fédéral 9C_294/2013 du 20 août 2013 consid. 3.1 et 4.2). d. En l’occurrence, il résulte du rapport du Dr H______ du 29 avril 2019 que la fracture de fatigue constatée dès le 14 mars 2019, soit avant la décision querellée qui date du 1er avril 2019, était une nouvelle atteinte de l’assuré, dans la mesure où ce médecin indiquait qu’un CT-scan avait montré un trait de fatigue nouvellement apparu au niveau de la corticale antérieure, en voie de guérison, et avait confirmé que l’ostéotomie avait bien guéri tant au niveau du tibia que du péroné. Par ailleurs, comme l’a relevé l’intimé, la fracture de fatigue n’a apparemment pas entraîné une incapacité de travail durable susceptible d’ouvrir au recourant un droit à une rente. Si l’atteinte s’est prolongée plus d’un an, l’intimé devra se prononcer à ce sujet dans une nouvelle décision. En conclusion, c’est à juste titre que l’intimé n’a pas tenu compte de la fracture de fatigue dans la décision querellée.</w:t>
      </w:r>
    </w:p>
    <w:p>
      <w:r>
        <w:rPr>
          <w:b/>
        </w:rPr>
        <w:t>E. 6</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w:t>
      </w:r>
    </w:p>
    <w:p>
      <w:r>
        <w:t>A/1863/2019 - 13/23 -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c.a.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c.c.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w:t>
      </w:r>
    </w:p>
    <w:p>
      <w:r>
        <w:t>A/1863/2019 - 14/23 - c.d.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c.e.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c.f.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t>A/1863/2019 - 15/23 -</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9</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10</w:t>
      </w:r>
    </w:p>
    <w:p>
      <w:r>
        <w:t>a. En l’espèce, l’intimé a fondé sa décision de refus de prestations sur un rapport du SMR, lui-même fondé sur les rapports du Dr I______ du 24 juillet 2018 et du Dr H______ du 22 septembre 2018. Ces deux médecins retenaient que le recourant</w:t>
      </w:r>
    </w:p>
    <w:p>
      <w:r>
        <w:t>A/1863/2019 - 16/23 - était totalement incapable de travailler dans son activité habituelle de logisticien, livreur, en raison des suites de son accident du 22 juin 2009 et en particulier depuis le début de l’année 2018, selon le Dr H______. Le Dr I______ retenait une capacité de travail totale dans l’activité d’aide-comptable dès le 24 juillet 2018, mais le Dr H______ ne se prononçait pas sur cette question. Le SMR a retenu que le recourant était totalement capable de travailler dans une activité adaptée en se référant à ce dernier rapport. Dès lors que le rapport du Dr H______ retenait que l’état de santé actuel du recourant lui permettait de marcher sans canne et qu’il était seulement empêché de courir et de porter de lourdes charges, la conclusion retenue par le SMR sur le retour à une pleine capacité de travail dans une activité adaptée apparaît correcte et elle est plus favorable au recourant que celle du Dr I______. Dans son rapport du 20 août 2019, la Dresse K______, spécialiste en néphrologie, qui a suivi le recourant suite à une thrombose de la veine rénale, une embolie pulmonaire et un syndrome néphrotique survenus en 2016, a indiqué, s’agissant des restrictions fonctionnelles découlant de cette atteinte, qu’on constatait surtout une diminution de la réserve pulmonaire, certainement en relation avec les séquelles d’embolie pulmonaire, et un syndrome restrictif. Du point de vue rénal pur, il n’y avait actuellement pas d’incapacité de travail, en dehors des périodes où le patient nécessitait un traitement de Rituximab, qui était susceptible d’être administré environ tous les six mois. La capacité de travail actuelle de l’assuré était surtout en relation avec ses problèmes pulmonaires et ostéoarticulaires, raison pour laquelle il fallait se référer, notamment, à l’orthopédiste. b. Le recourant a invoqué que la Dresse J______ avait, sur questions adressées à elle par son conseil le 11 avril 2019, estimé que sa capacité de travail dans une activité adaptée était diminuée, car il présentait une importante asthénie, en raison de sa pathologie néphrologique ainsi que des troubles de la concentration, probablement en lien avec son état de fatigue. Elle considérait en outre qu’hormis la position assise dans un travail de bureau, il devrait pouvoir bénéficier d’une pause après deux heures dans cette position et pouvoir étendre régulièrement sa jambe en hauteur afin d’éviter la formation d’œdèmes, qui exacerbaient ses douleurs du membre inférieur. Dans son rapport précité, la Dresse J______ indiquait qu’il lui était difficile de quantifier la perte de rendement mais que l’assuré devrait pouvoir commencer dans une nouvelle activité professionnelle à 50% et l’augmenter graduellement jusqu’au maximum de 70-80%. Elle précisait que l’assuré redoutait de réintégrer le monde du travail dans un nouveau domaine, sans aucune expérience professionnelle. Il semblait indispensable qu’il puisse bénéficier d’une réadaptation professionnelle avant d’être lancé dans un travail dont il n’avait aucune habitude, ceci d’autant plus que le temps écoulé depuis sa formation en aide-comptable dépassait deux ans. L’appréciation de la Dresse J______ ne remet pas sérieusement en doute celles des Drs I______, H______ et K______, dès lors qu’elle n’est spécialisée ni en orthopédie, ni en néphrologie. S’agissant d’une activité sédentaire de bureau, la</w:t>
      </w:r>
    </w:p>
    <w:p>
      <w:r>
        <w:t>A/1863/2019 - 17/23 - diminution de la réserve pulmonaire du recourant n’apparaît en particulier pas de nature à réduire son rendement. Sur la base des rapports médicaux des Drs I______, H______ et K______, il peut être retenu, au degré de la vraisemblance prépondérante, que le recourant a retrouvé une pleine capacité de travail dans une activité adaptée dès le 22 septembre 2018. Il ne se justifie dès lors pas d’ordonner une expertise rhumatologique et néphrologique.</w:t>
      </w:r>
    </w:p>
    <w:p>
      <w:r>
        <w:rPr>
          <w:b/>
        </w:rPr>
        <w:t>E. 11</w:t>
      </w:r>
    </w:p>
    <w:p>
      <w:r>
        <w:t>a. Le recourant a invoqué dans son recours que son état de santé s’était aggravé, au vu de la fracture de fatigue récemment constatée et que ses limitations fonctionnelles étaient plus étendues que celles retenues par l’intimé. b. La question qui se pose est de déterminer s’il s’agit là d’une aggravation de l’état de santé du recourant ou d’une nouvelle atteinte. c. Le principe de l'unicité de la survenance de l'invalidité cesse d'être applicable lorsque l'invalidité subit des interruptions notables ou que l'évolution de l'état de santé ne permet plus d'admettre l'existence d'un lien de fait et de temps entre les diverses phases, qui en deviennent autant de cas nouveau de survenance de l'invalidité (arrêt du Tribunal fédéral 9C_36/2015 du 29 avril 2015 consid. 5.1 et</w:t>
      </w:r>
    </w:p>
    <w:p>
      <w:r>
        <w:rPr>
          <w:b/>
        </w:rPr>
        <w:t>E. 12</w:t>
      </w:r>
    </w:p>
    <w:p>
      <w:r>
        <w:t>a. Le recourant a encore contesté le taux d’abattement de 15% retenu par l’intimé, pour tenir compte des limitations fonctionnelles et de son âge. Il a fait valoir que ses limitations fonctionnelles étaient importantes, car il devait avoir une activité en position assise, sans port de charges, sans travail en position agenouillée, sans avoir à prendre d’escaliers, à se déplacer et marche en terrain plat. De plus, il fallait tenir compte de son asthénie, de ses troubles de la concentration et de son besoin constant de se reposer. En outre, il était éloigné du monde de travail, puisque l’accident l’avait empêché d’avoir une activité professionnelle au cours des dix dernières années. Un abattement d’au moins 20% devait en conséquence être retenu. 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w:t>
      </w:r>
    </w:p>
    <w:p>
      <w:r>
        <w:t>A/1863/2019 - 19/23 - comme la mieux appropriée (ATF 126 V 75 consid. 6; ATF 123 V 150 consid. 2 et les références; arrêt du Tribunal fédéral 8C_337/2009 du 18 février 2010 consid. 7.5). S’agissant du critère des années de service, le Tribunal fédéral considère que le manque d'expérience d'un assuré dans une nouvelle profession ne constitue pas un facteur susceptible de jouer un rôle significatif sur ses perspectives salariales, lorsque les activités adaptées envisagées (simples et répétitives de niveau de compétence 1) ne requièrent ni formation, ni expérience professionnelle spécifique. En outre, tout nouveau travail va de pair avec une période d'apprentissage, de sorte qu'il n'y a pas lieu d'effectuer un abattement à ce titre (voir par exemple l'arrêt du Tribunal fédéral 9C_200/2017 du 14 novembre 2017 consid. 4.5). Dans un arrêt 9C_677/2015 du 25 janvier 2016, le Tribunal fédéral a jugé qu'un abattement de 15% se justifiait, vu la nature des limitations fonctionnelles présentées par l'intéressé (pas de mouvement en porte-à-faux, pas de charges de plus de 10 kg, pas de mouvements répétitifs du rachis, alternance des positions debout et assis), lequel était, en outre, âgé de 54 ans et avait été absent de façon prolongée du marché du travail. Seules des concessions salariales sensibles pourraient compenser cet état de fait et permettre à l'intéressé d'être compétitif sur le marché du travail. c. En l’espèce, la situation du recourant est proche de celle ayant fait l’objet de l’arrêt précité, de sorte que l’abattement retenu par l’intimé n’appelle pas la critique. L’intimé a tenu compte de son âge et de ses limitations fonctionnelles, à savoir la nécessité d’avoir une activité en position assise, sans port de charges, sans travail en position agenouillée, sans avoir à prendre d’escaliers, à se déplacer ou à marcher en terrain non plat. Celles-ci ne sont pas de nature à restreindre de façon importante ses possibilités d’engagement comme aide-comptable ou dans une activité simple et répétitive adaptée. S’agissant de l’asthénie, des troubles de la concentration et du besoin de se reposer invoqués, ces limitations ressortent du rapport de la Dresse J______, qui n’est pas probant, dès lors que ces atteintes sont en lien avec les troubles rénaux du recourant et que la Dresse K______, spécialiste en néphrologie, a estimé qu’ils n’impactaient pas la capacité de travail du recourant. La situation du recourant ne justifie donc pas un abattement de plus de 15%.</w:t>
      </w:r>
    </w:p>
    <w:p>
      <w:r>
        <w:rPr>
          <w:b/>
        </w:rPr>
        <w:t>E. 13</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w:t>
      </w:r>
    </w:p>
    <w:p>
      <w:r>
        <w:t>A/1863/2019 - 20/23 - générale de comparaison des revenus; ATF 128 V 29 consid. 1; ATF 104 V 135 consid. 2a et 2b).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Ce n'est qu'en présence de circonstances particulières qu'il peut se justifier qu'on s'en écarte et qu'on recoure aux données statistiques résultant de l’ESS éditée par l'Office fédéral de la statistique (arrêt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w:t>
      </w:r>
    </w:p>
    <w:p>
      <w:r>
        <w:rPr>
          <w:b/>
        </w:rPr>
        <w:t>E. 17</w:t>
      </w:r>
    </w:p>
    <w:p>
      <w:r>
        <w:t>Bien que la procédure ne soit pas gratuite en matière d'assurance-invalidité (art. 69 al. 1bis LAI), il convient de renoncer à la perception d'un émolument, le recourant étant au bénéfice de l'assistance juridique (art. 13 al. 1 du règlement sur les frais, émoluments et indemnités en procédure administrative du 30 juillet 1986 [RFPA - E 5 10.03]). ***</w:t>
      </w:r>
    </w:p>
    <w:p>
      <w:r>
        <w:t>A/1863/2019 - 23/23 -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