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ATAS/562/2019 vom 20. Juni 2019</w:t>
      </w:r>
    </w:p>
    <w:p>
      <w:r>
        <w:t>GE Cour de justice, 2019-06-20, FR</w:t>
      </w:r>
    </w:p>
    <w:p>
      <w:r>
        <w:rPr>
          <w:b/>
        </w:rPr>
        <w:t xml:space="preserve">Quelle: </w:t>
      </w:r>
      <w:r>
        <w:t>https://mcp.opencaselaw.ch/entscheid/ge_gerichte_ATAS_562_2019</w:t>
      </w:r>
    </w:p>
    <w:p>
      <w:r>
        <w:t>FR: GE_GERICHTE ATAS/562/2019 du 20 juin 2019</w:t>
      </w:r>
    </w:p>
    <w:p>
      <w:r>
        <w:t>IT: GE_GERICHTE ATAS/562/2019 del 20 giugno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w:t>
      </w:r>
    </w:p>
    <w:p>
      <w:r>
        <w:t>A/2080/2017 - 10/18 -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4</w:t>
      </w:r>
    </w:p>
    <w:p>
      <w:r>
        <w:t>Interjeté dans la forme et le délai prévus par la loi, le recours est recevable (art. 56ss LPGA et 62ss de la loi sur la procédure administrative du 12 septembre 1985 [LPA- GE - E 5 10]).</w:t>
      </w:r>
    </w:p>
    <w:p>
      <w:r>
        <w:rPr>
          <w:b/>
        </w:rPr>
        <w:t>E. 5</w:t>
      </w:r>
    </w:p>
    <w:p>
      <w:r>
        <w:t>Le litige porte sur la question de savoir si le recourant a droit à des prestations de l’assurance-accident pour les atteintes qui perdurent aujourd’hui encore et sur le taux retenu par l’intimé pour l’atteinte à l’intégrité.</w:t>
      </w:r>
    </w:p>
    <w:p>
      <w:r>
        <w:rPr>
          <w:b/>
        </w:rPr>
        <w:t>E. 6</w:t>
      </w:r>
    </w:p>
    <w:p>
      <w:r>
        <w:t>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ATF 118 V 286 consid. 1b et les références).</w:t>
      </w:r>
    </w:p>
    <w:p>
      <w:r>
        <w:t>A/2080/2017 - 11/18 -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 U 341 p. 408 consid. 3b). c.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En présence de troubles psychiques apparus après un accident, on examine les critères de la causalité adéquate en excluant les aspects psychiques (ATF 115 V 133 consid. 6c/aa; ATF 115 V 403 consid. 5c/aa), tandis qu'en présence d'un traumatisme de type « coup du lapin » à la colonne cervicale (ATF 117 V 359 consid. 6a), d'un traumatisme analogue à la colonne cervicale (SVR 1995 UV n° 23 consid. 2) ou d'un traumatisme crânio-cérébral (ATF 117 V 369 consid. 4b), on peut renoncer à distinguer les éléments physiques des éléments psychiques (sur l'ensemble de la question, ATF 127 V 102 consid. 5b/bb et SVR 2007 UV n° 8 p. 27 consid. 2 et les références). En application de la pratique sur les conséquences psychiques des accidents (ATF 115 V 133),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w:t>
      </w:r>
    </w:p>
    <w:p>
      <w:r>
        <w:rPr>
          <w:b/>
        </w:rPr>
        <w:t>E. 7</w:t>
      </w:r>
    </w:p>
    <w:p>
      <w:r>
        <w:t>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w:t>
      </w:r>
    </w:p>
    <w:p>
      <w:r>
        <w:t>A/2080/2017 - 12/18 - convient non pas de s'attacher à la manière dont l'assuré a ressenti et assumé le choc traumatique, mais bien plutôt de se fonder, d'un point de vue objectif, sur l'événement accidentel lui-même (ATF 140 V 356 consid. 5.3; ATF 115 V 133 consid. 6;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arrêt du Tribunal fédéral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w:t>
      </w:r>
    </w:p>
    <w:p>
      <w:r>
        <w:t>A/2080/2017 - 13/18 - 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w:t>
      </w:r>
    </w:p>
    <w:p>
      <w:r>
        <w:rPr>
          <w:b/>
        </w:rPr>
        <w:t>E. 8</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A/2080/2017 - 14/18 -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On ajoutera qu’une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9</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w:t>
      </w:r>
    </w:p>
    <w:p>
      <w:r>
        <w:t>A/2080/2017 - 15/18 -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10</w:t>
      </w:r>
    </w:p>
    <w:p>
      <w:r>
        <w:t>a. En l’espèce, se pose en premier lieu la question de la stabilisation de l’état de santé de l’assuré, contestée par ce dernier. Il y a lieu de relever que la Cour de céans a déjà jugé, dans son arrêt du 18 février 2013, confirmé par notre Haute Cour, que l’état de l’assuré était stabilisé. Quoi qu’il en soit, la stabilisation en question a été confirmée par la suite par les médecins de la CRR, mais également par l’expert I______, interrogé à cet égard en mai 2018, et par le Dr L______, spécialiste en médecine physique et réadaptation auprès de la CRR, en août 2018.</w:t>
      </w:r>
    </w:p>
    <w:p>
      <w:r>
        <w:t>A/2080/2017 - 16/18 - Dès lors, c’est à juste titre que l’intimée a conclu à une stabilisation de l’état de l’assuré. b. Il convient dès lors d’examiner le lien de causalité naturelle entre l’accident, d’une part, les troubles encore présents, d’autre part. A cet égard, il convient d’opérer une distinction entre les atteintes psychiques et les atteintes physiques. S’il n’est pas contesté que l’accident a eu pour conséquence une fracture de la cheville droite, la mauvaise évolution de cette dernière et les douleurs persistantes ne sont clairement plus, selon les réponses unanimes des médecins et experts interrogés, en relation de causalité naturelle avec l’évènement. En mai 2013 déjà, le Dr C______ disait ne pas trouver d’explications aux symptômes rapportés par l’assuré, pas plus que ses collègues par la suite, que ce soit l’expert I______ ou les médecins de la CRR (Dr L______, en mai 2018, Dr E______ en mai 2018). Tous les médecins ont décrit une fracture consolidée, sans signe objectif susceptible d’expliquer l’ampleur des limitations fonctionnelles évoquées par l’assuré. Sur le plan physique, c’est donc à juste titre que l’intimée a nié la persistance d’un lien de causalité naturelle. Sur le plan psychique, il apparaît que le trouble de la personnalité dont l’existence a été évoquée est sans conteste possible antérieur à l’évènement, puisque, par définition, il remonte à l’adolescence, et donc sans relation de causalité avec l’accident. Quant à la majoration des symptômes physiques pour raisons psychiques, elle n’est pas en lien de causalité adéquate avec l’évènement, qui doit être qualifié, tout au plus, d’accident de gravité moyenne. Les critères énoncés par la jurisprudence ne sont en effet pas remplis en l’occurrence : les circonstances de l’accident n’étaient pas particulièrement dramatiques, ni l’évènement particulièrement impressionnant – ce n’est d’ailleurs pas allégué par le recourant ; il n’y a eu ni erreurs dans le traitement médical, ni difficultés en cours de guérison, ni complications importantes, ainsi que le Dr C______ a pu le confirmer lors de son audition. On ne peut qualifier le traitement médical d’anormalement long. Enfin, l’assuré ayant été reconnu apte à travailler dès le 22 juillet 2013, le critère relatif au degré et à la durée de l’incapacité de travail due aux lésions physiques n’est pas non plus rempli. Dans ces conditions, c’est également à juste titre que l’intimée a refusé de tenir compte, dans son évaluation, tant de la capacité de travail que de l’atteinte à l’intégrité, des atteintes psychiques invoquées par le recourant. Pour les mêmes raisons, des investigations supplémentaires sur ce plan ne se justifient pas.</w:t>
      </w:r>
    </w:p>
    <w:p>
      <w:r>
        <w:rPr>
          <w:b/>
        </w:rPr>
        <w:t>E. 11</w:t>
      </w:r>
    </w:p>
    <w:p>
      <w:r>
        <w:t>S’agissant de la capacité de travail, le recourant fait valoir que l’expert I______ a retenu une diminution de rendement de 20%. Celle-ci était cependant évoquée s’agissant de l’exercice de l’activité habituelle de chauffeur manutentionnaire, laquelle n’est pas totalement en adéquation avec les limitations fonctionnelles</w:t>
      </w:r>
    </w:p>
    <w:p>
      <w:r>
        <w:t>A/2080/2017 - 17/18 - retenues. Dans une activité totalement adaptée, en revanche, les Drs H______ et L______ (en mai 2018) ont conclu à une pleine capacité de travail. Quant au pronostic défavorable émis par les médecins de la CRR évoqué par le recourant, il a été clairement précisé qu’il était motivé par des facteurs contextuels non médicaux et dont l’intimée n’a donc pas à répondre. Eu égard aux considérations qui précèdent, c’est à raison que l’intimée a retenu une pleine capacité de travail dans une activité adaptée aux limitations fonctionnelles établies. Sur ce point, le recours est également rejeté, étant précisé que le calcul du degré d’invalidité n’est pas – en soi – contesté par le recourant et qu’il n’apparaît au demeurant pas critiquable.</w:t>
      </w:r>
    </w:p>
    <w:p>
      <w:r>
        <w:rPr>
          <w:b/>
        </w:rPr>
        <w:t>E. 12</w:t>
      </w:r>
    </w:p>
    <w:p>
      <w:r>
        <w:t>Quant au taux retenu pour l’IPAI, le grief formulé par le recourant, qui reproche à la Dresse H______ de n’avoir tenu compte ni de ses troubles psychiques, ni de l’instabilité articulaire, apparaît manifestement infondé, tant il est apparu que les troubles psychiques n’avaient pas être pris en considération et qu’aucun élément médical objectif ne vient justifier que soit retenu un taux supérieur à 5%. Les explications données à cet égard par la Dresse M______ (apparition vraisemblable d’une arthrose future) apparaissent convaincantes.</w:t>
      </w:r>
    </w:p>
    <w:p>
      <w:r>
        <w:rPr>
          <w:b/>
        </w:rPr>
        <w:t>E. 13</w:t>
      </w:r>
    </w:p>
    <w:p>
      <w:r>
        <w:t>Au vu de ce qui précède, le recours est rejeté. Pour le surplus, la procédure est gratuite (art. 61 let. a LPGA).</w:t>
      </w:r>
    </w:p>
    <w:p>
      <w:r>
        <w:t>A/2080/2017 - 18/18 -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