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ATAS/562/2016 vom 6. Juli 2016</w:t>
      </w:r>
    </w:p>
    <w:p>
      <w:r>
        <w:t>GE Cour de justice, 2016-07-06, FR</w:t>
      </w:r>
    </w:p>
    <w:p>
      <w:r>
        <w:rPr>
          <w:b/>
        </w:rPr>
        <w:t xml:space="preserve">Quelle: </w:t>
      </w:r>
      <w:r>
        <w:t>https://mcp.opencaselaw.ch/entscheid/ge_gerichte_ATAS_562_2016</w:t>
      </w:r>
    </w:p>
    <w:p>
      <w:r>
        <w:t>FR: GE_GERICHTE ATAS/562/2016 du 6 juillet 2016</w:t>
      </w:r>
    </w:p>
    <w:p>
      <w:r>
        <w:t>IT: GE_GERICHTE ATAS/562/2016 del 6 luglio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et art. 62 al. 1 let. a de la loi sur la procédure administrative du 12 septembre 1985 [LPA-GE - E 5 10]). Interjeté dans le délai et la forme prévus par la loi, le recours est recevable (art. 56 et 60 LPGA; art. 89B LPA-GE).</w:t>
      </w:r>
    </w:p>
    <w:p>
      <w:r>
        <w:t>A/3604/2015 - 13/18 -</w:t>
      </w:r>
    </w:p>
    <w:p>
      <w:r>
        <w:rPr>
          <w:b/>
        </w:rPr>
        <w:t>E. 5</w:t>
      </w:r>
    </w:p>
    <w:p>
      <w:r>
        <w:t>Le litige porte sur le degré d’invalidité du recourant dans le cadre de l’application de la méthode extraordinaire d’évaluation de l’invalidité et, partant, sur son droit éventuel à une rente de l'assurance-invalidité.</w:t>
      </w:r>
    </w:p>
    <w:p>
      <w:r>
        <w:rPr>
          <w:b/>
        </w:rPr>
        <w:t>E. 6</w:t>
      </w:r>
    </w:p>
    <w:p>
      <w:r>
        <w:t>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(ATF 131 III 91 consid. 5.2 et ATF 120 V 233 consid. 1a), laquelle ne saurait, de son côté, revenir sur sa décision à l'occasion d'un recours subséquent (arrêts du Tribunal fédéral 9C_457/2013 du 26 décembre 2013 consid. 6.2 et 9C_160/2011 du 13 décembre 2011 consid. 2.1). b) En l’espèce, la décision de l’intimé du 10 février 2009 a été annulée par le TCAS dans son arrêt du 1er octobre 2009. Par ailleurs, la décision de l’intimé du 14 septembre 2011 et l’arrêt du 23 mai 2012 de la chambre de céans ont également été annulés par le Tribunal fédéral par arrêt du 23 mai 2013. Par conséquent, aucune décision de l’intimé n’est entrée en force, respectivement n’a acquis force de chose jugée. c) En définitive, l'objet du litige soumis pour la troisième fois à la chambre de céans est le droit du recourant à une rente d'invalidité, mais non pas les facteurs de pondération retenus par l’intimé dans son appréciation selon la méthode extraordinaire d’évaluation de l’invalidité. Ceux-ci ne constituent que l'un des facteurs de l'évaluation de l'invalidité (cf. art. 6 à 8 et 16 LPGA) et l'un des aspects du rapport juridique litigieux qui font partie de la motivation de la décision (ATF 136 V 362 consid. 3.4.3). Par conséquent, en tant qu'élément de la motivation de la décision, les facteurs de pondération ne peuvent en principe être considérés comme décidés et entrés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arrêts du Tribunal fédéral 9C_488/2008 consid. 4, in SVR 2009 IV n° 7 p. 13 et 9C_99/2012 du 24 septembre 2012 consid. 3.1). Or, dans son arrêt du 23 mai 2013, le Tribunal fédéral a renvoyé la cause à l’intimé pour instruction complémentaire au sens de considérants, plus précisément afin qu’il examine concrètement les tâches que le recourant est encore en mesure d’accomplir en tenant compte de ses limitations fonctionnelles. Dans ledit arrêt, il a tranché définitivement le choix de la méthode d’évaluation de l’invalidité, à savoir la méthode extraordinaire. En revanche, il n’a pas tranché définitivement la question des tâches que le recourant serait en mesure d’accomplir en tenant compte</w:t>
      </w:r>
    </w:p>
    <w:p>
      <w:r>
        <w:t>A/3604/2015 - 14/18 - de son obligation de diminuer le dommage puisque précisément, il a renvoyé la cause à l’intimé pour instruction complémentaire sur lesdites tâches. Aussi, dans le cadre de la méthode extraordinaire d’évaluation de l’invalidité, l’intimé n’a pas excédé sa latitude de jugement en procédant dans sa nouvelle décision à un nouvel examen des tâches que le recourant est susceptible d’accomplir sans invalidité.</w:t>
      </w:r>
    </w:p>
    <w:p>
      <w:r>
        <w:rPr>
          <w:b/>
        </w:rPr>
        <w:t>E. 7</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et I 11/00 du 22 août 2001, in VSI 2001 p. 274 consid. 5a/bb).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w:t>
      </w:r>
    </w:p>
    <w:p>
      <w:r>
        <w:t>A/3604/2015 - 15/18 - fondamentaux. Demeurent réservés les cas où les dispositions prises par l'assuré doivent être considérées, au regard des circonstances concrètes, comme étant tout simplement déraisonnables ou abusives (ATF 113 V 22 consid. 4d).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(RCC 1983 p. 246; arrêt du Tribunal fédéral 9C_394/2009 du 8 janvier 2010 consid. 5).</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arrêt du Tribunal fédéral des assurances I 906/05 du 23 janvier 2007 consid. 6). Elle est tenue d’éclaircir l’état de fait déterminant avant de rendre sa décision (ATF 132 V 368 consid. 4). De son côté, conformément à son devoir de collaborer à l'instruction de l'affaire (ATF 125 V 193 consid. 2), l'assuré est tenu de se soumettre aux examens médicaux et techniques qui sont nécessaires à l'appréciation du cas et peuvent être raisonnablement exigés (art. 43 al. 2 LPGA). Toutefois, le pouvoir d'appréciation de l'administration dans la mise en œuvre desdits examens n'est pas illimité; elle doit se laisser guider par les principes de l'Etat de droit, tels les devoirs d'objectivité</w:t>
      </w:r>
    </w:p>
    <w:p>
      <w:r>
        <w:t>A/3604/2015 - 16/18 - et d'impartialité et le principe d'une administration rationnelle (arrêt du Tribunal fédéral 8C_667/2012 du 12 juin 2013 consid. 4.1).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ss consid. 3.2 et 3.3). Aussi n'existe-t-il pas, en droit des assurances sociales, un principe selon lequel l'administration ou le juge devrait statuer, dans le doute, en faveur de l'assuré (ATF 126 V 319 consid. 5a).</w:t>
      </w:r>
    </w:p>
    <w:p>
      <w:r>
        <w:rPr>
          <w:b/>
        </w:rPr>
        <w:t>E. 9</w:t>
      </w:r>
    </w:p>
    <w:p>
      <w:r>
        <w:t>En l’espèce, bien que le Tribunal fédéral ait donné des instructions à l’intimé quant à la manière de procéder à l’instruction complémentaire requise, celui-ci s’est borné à se rendre au sein de l’entreprise pour entendre une nouvelle fois le recourant et à requérir le cahier des charges de chef d’atelier. En revanche, il n’a pas du tout interrogé le personnel de l’entreprise afin de mieux cerner les activités manuelles déployées par le recourant et les autres membres du personnel. Certes, l’intimé a admis que les activités manuelles légères et lourdes s’agissant de véhicules poids lourds étaient indissociables. Toutefois, il n’a pas cherché à examiner si le recourant est en mesure concrètement de modifier l’organisation de son entreprise et de reprendre certaines activités des chefs d’atelier. À cet effet, il lui appartenait notamment d’interroger lesdits chefs d’atelier sur la question de savoir si dans le cadre de leurs activités, ils accomplissent encore des tâches manuelles, si leurs activités consistent essentiellement en tâches de gestion et de supervision des</w:t>
      </w:r>
    </w:p>
    <w:p>
      <w:r>
        <w:t>A/3604/2015 - 17/18 - mécaniciens, s’il est envisageable concrètement que le recourant reprennent certaines de leurs tâches et dans quelle mesure, etc. En outre, l’intimé s’est également borné à constater lors de l’enquête sur place que le recourant a repris ad intérim les tâches de responsable technique de l’entreprise, sans examiner concrètement s’il est en mesure d’accomplir lesdites tâches sur la durée, ni produire au dossier le cahier des charges dudit directeur. Par conséquent, à la lecture du rapport d’enquête de l’intimé, il n’est pas possible de savoir si le poste de directeur technique consiste uniquement en une promotion salariale avec les mêmes tâches que celles de chef d’atelier et quelques prises de décisions avec les autres cadres de l’entreprise ou s’il s’agit d’un poste avec d’autres tâches. En outre, l’intimé ne s’est pas davantage entretenu avec le directeur technique démissionnaire –qui pourtant a toujours son bureau au sein de l’entreprise - pour déterminer quelles tâches de son cahier des charges de directeur technique pourraient être concrètement accomplies par le recourant. Enfin, il n’a pas davantage cherché à savoir si le recourant est concrètement en mesure de donner des cours, notamment s’il a les compétences pédagogiques requises et auprès de qui il pourrait donner lesdits cours. En vertu de l'art. 43 al. 1 LPGA, l'assureur examine les demandes, prend d'office les mesures d'instruction nécessaires et recueille les renseignements dont il a besoin (principe inquisitoire; voir ATF 125 V 193 consid. 2 et les références). Or, en définitive, l’intimé a procédé à nouveau à une pondération théorique des activités du recourant après son atteinte à la santé, respectivement à une évaluation théorique de son degré d’invalidité en contrariété avec les instructions contenues dans l’arrêt de renvoi du Tribunal fédéral qui lui ordonnait d’examiner concrètement et non pas en théorie les tâches que le recourant est encore en mesure d’accomplir compte tenu de ses limitations fonctionnelles. Par conséquent, lors de l’instruction de la cause, l’intimé n’a pas respecté les devoirs d'objectivité et d'impartialité ainsi que le principe d'une administration rationnelle.</w:t>
      </w:r>
    </w:p>
    <w:p>
      <w:r>
        <w:rPr>
          <w:b/>
        </w:rPr>
        <w:t>E. 10</w:t>
      </w:r>
    </w:p>
    <w:p>
      <w:r>
        <w:t>Au vu de ce qui précède, le recours sera admis et le dossier renvoyé à l’intimé pour instruction complémentaire au sens des considérants. La décision du 9 septembre 2015 sera annulée au sens des considérants. Le recourant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1’000.-. Pour le surplus, la procédure est gratuite (art. 61 let. a LPGA).</w:t>
      </w:r>
    </w:p>
    <w:p>
      <w:r>
        <w:t>A/3604/2015 - 18/18 -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