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ATAS/562/2008 vom 2. Mai 2008</w:t>
      </w:r>
    </w:p>
    <w:p>
      <w:r>
        <w:t>GE Cour de justice, 2008-05-02, FR</w:t>
      </w:r>
    </w:p>
    <w:p>
      <w:r>
        <w:rPr>
          <w:b/>
        </w:rPr>
        <w:t xml:space="preserve">Quelle: </w:t>
      </w:r>
      <w:r>
        <w:t>https://mcp.opencaselaw.ch/entscheid/ge_gerichte_ATAS_562_2008</w:t>
      </w:r>
    </w:p>
    <w:p>
      <w:r>
        <w:t>FR: GE_GERICHTE ATAS/562/2008 du 2 mai 2008</w:t>
      </w:r>
    </w:p>
    <w:p>
      <w:r>
        <w:t>IT: GE_GERICHTE ATAS/562/2008 del 2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w:t>
      </w:r>
    </w:p>
    <w:p>
      <w:r>
        <w:t>A/4726/2007 - 4/9 -</w:t>
      </w:r>
    </w:p>
    <w:p>
      <w:r>
        <w:rPr>
          <w:b/>
        </w:rPr>
        <w:t>E. 2</w:t>
      </w:r>
    </w:p>
    <w:p>
      <w:r>
        <w:t>Le recours ayant été interjeté dans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LAI du 21 mars 2003 (4ème révision). Par conséquent, du point de vue matériel, le droit éventuel à des prestations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Déterminé par la décision litigieuse et les conclusions des parties, l'objet du litige concerne le droit du recourant à des prestations de l'assurance-invalidité, que ce soit sous forme de rente ou de mesures professionnelles, singulièrement le taux d'invalidité qu'il présente.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A/4726/2007 - 5/9 -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w:t>
      </w:r>
    </w:p>
    <w:p>
      <w:r>
        <w:t>A/4726/2007 - 6/9 -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En l'espèce, tous les médecins consultés ont admis que l'assuré conserve une capacité de travail pleine et entière dans une activité adaptée à son état de santé, c'est-à-dire s'exerçant en position essentiellement assise et évitant les travaux en force. C'est par conséquent à bon droit que l'intimé a procédé à une comparaison des gains en retenant la capacité entière de l'assuré à exercer une activité adaptée.</w:t>
      </w:r>
    </w:p>
    <w:p>
      <w:r>
        <w:rPr>
          <w:b/>
        </w:rPr>
        <w:t>E. 9</w:t>
      </w:r>
    </w:p>
    <w:p>
      <w:r>
        <w:t>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A/4726/2007 - 7/9 -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10</w:t>
      </w:r>
    </w:p>
    <w:p>
      <w:r>
        <w:t>En l’espèce, le recourant a travaillé comme peintre en bâtiment. Dans le but de déterminer sa rémunération au moment de l’ouverture éventuelle du droit aux prestations, soit en 2006, l’intimé a requis des informations de l’ancien employeur. Cette façon de faire est correcte et les renseignements obtenus pertinents, dans la mesure où rien ne permet de penser que sans l’atteinte à la santé, le recourant aurait changé d’emploi. Il ressort de l’instruction menée par l’administration que le revenu annuel qu’aurait perçu l’intéressé en 2006 se monte à 48'633 fr. Quant au revenu avec invalidité, en l’absence de reprise d’activité du recourant, il convient de se référer aux salaires statistiques tels qu’ils découlent de l’enquête suisse sur la structure des salaires éditée par l’Office fédéral de la statistique (ESS). Les médecins ont exposé que le recourant pourrait exercer une activité légère à plein temps n’impliquant pas de port de charges et s'exerçant en position assise essentiellement. L’intéressé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longs déplacements, ni exposition au froid. Selon les données de l'ESS 2006, le revenu mensuel standardisé d'un homme exerçant une activité simple et répétitive s'élevait, tous domaines confondus, à 4’732 fr. par mois (valeur médiane). Ce montant correspond, pour un horaire de travail moyen de 41,7 heures (cf. ATF 126 V 81 consid. 7a) à un salaire annuel brut, en 2006, de 59'197 fr. 30. Compte</w:t>
      </w:r>
    </w:p>
    <w:p>
      <w:r>
        <w:t>A/4726/2007 - 8/9 - tenu, par ailleurs, de l'ensemble des circonstances du cas d'espèce, qui justifient la réduction de 10 % de ce salaire statistique, le revenu d'invalide peut être arrêté à 53'278 fr. En comparaison du revenu sans invalidité, le gain avec invalidité fait apparaître l'absence de perte de gain.</w:t>
      </w:r>
    </w:p>
    <w:p>
      <w:r>
        <w:rPr>
          <w:b/>
        </w:rPr>
        <w:t>E. 11</w:t>
      </w:r>
    </w:p>
    <w:p>
      <w:r>
        <w:t>Selon l'art. 17 LAI, l'assuré a droit au reclassement dans une nouvelle profession si son invalidité rend cette mesure nécessaire et que sa capacité de gain peut ainsi, selon toute vraisemblance, être sauvegardée ou améliorée (al.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En l'espèce, force est de constater que le recourant ne remplit à l'évidence pas les conditions objectives mises à l'octroi d'un reclassement, puisqu'il n'atteint pas un degré d'invalidité de 20 %. C'est par conséquent à juste titre que l'intimé lui a refusé toute prestation.</w:t>
      </w:r>
    </w:p>
    <w:p>
      <w:r>
        <w:rPr>
          <w:b/>
        </w:rPr>
        <w:t>E. 12</w:t>
      </w:r>
    </w:p>
    <w:p>
      <w:r>
        <w:t>Eu égard aux considérations qui précèdent, le recours est rejeté.</w:t>
      </w:r>
    </w:p>
    <w:p>
      <w:r>
        <w:t>A/4726/2007 - 9/9 -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