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ATAS/561/2020 vom 30. Juni 2020</w:t>
      </w:r>
    </w:p>
    <w:p>
      <w:r>
        <w:t>GE Cour de justice, 2020-06-30, FR</w:t>
      </w:r>
    </w:p>
    <w:p>
      <w:r>
        <w:rPr>
          <w:b/>
        </w:rPr>
        <w:t xml:space="preserve">Quelle: </w:t>
      </w:r>
      <w:r>
        <w:t>https://mcp.opencaselaw.ch/entscheid/ge_gerichte_ATAS_561_2020</w:t>
      </w:r>
    </w:p>
    <w:p>
      <w:r>
        <w:t>FR: GE_GERICHTE ATAS/561/2020 du 30 juin 2020</w:t>
      </w:r>
    </w:p>
    <w:p>
      <w:r>
        <w:t>IT: GE_GERICHTE ATAS/561/2020 del 30 giugno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 La LPC a connu plusieurs modifications concernant le montant des revenus déterminants, entrées en vigueur le 1er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 arrêt du Tribunal fédéral des assurances U 18/07 du 7 février 2008 consid. 1.2). Le droit aux prestations complémentaires de la recourante se détermine dès lors selon le nouveau droit pour les prestations octroyées dès le 31 décembre 2010.</w:t>
      </w:r>
    </w:p>
    <w:p>
      <w:r>
        <w:rPr>
          <w:b/>
        </w:rPr>
        <w:t>E. 3</w:t>
      </w:r>
    </w:p>
    <w:p>
      <w:r>
        <w:t>Interjeté dans les forme et délai légaux, le recours est recevable (art. 56 al. 1 et 60 al. 1 LPGA ; art. 43 LPCC).</w:t>
      </w:r>
    </w:p>
    <w:p>
      <w:r>
        <w:rPr>
          <w:b/>
        </w:rPr>
        <w:t>E. 4</w:t>
      </w:r>
    </w:p>
    <w:p>
      <w:r>
        <w:t>Le litige porte sur la question de savoir si c’est à juste titre que l’intimé a requis de la recourante la restitution des prestations complémentaires, tant dans son principe que dans la quotité, pour la période courant du 1er juillet 2012 au 30 juin 2019. La</w:t>
      </w:r>
    </w:p>
    <w:p>
      <w:r>
        <w:t>A/4509/2019 - 8/17 - recourante ne percevant que des PCC et aucunes PCF, l'objet du litige est circonscrit aux premières.</w:t>
      </w:r>
    </w:p>
    <w:p>
      <w:r>
        <w:rPr>
          <w:b/>
        </w:rPr>
        <w:t>E. 5</w:t>
      </w:r>
    </w:p>
    <w:p>
      <w:r>
        <w:t>a. Au niveau cantonal, l'art. 24 al. 1 1ère phrase LPCC prévoit que les prestations indûment touchées doivent être restituées. L'art. 14 du règlement relatif aux prestations cantonales complémentaires à l'assurance-vieillesse et survivants et à l’assurance-invalidité du 25 juin 1999 (RPCC-AVS/AI - J 4 25.03) précise que le SPC doit demander la restitution des prestations indûment touchées au bénéficiaire, à ses héritiers ou aux autres personnes mentionnées à l'art. 2 OPGA appliqué par analogie (al. 1). Il fixe l'étendue de l'obligation de restituer par décision (al. 2). b. L'obligation de restituer suppose aujourd'hui encore, conformément à la jurisprudence rendue à propos des anciens art. 47 al. 1 de la loi fédérale sur l'assurance-vieillesse et survivants, du 20 décembre 1946 (LAVS ; RS 831.10) ou 95 de la loi fédérale sur l'assurance-chômage obligatoire et l'indemnité en cas d'insolvabilité, du 25 juin 1982 ([LACI ; RS 837.0] ; p. ex. ATF 129 V 110 consid. 1.1 ; ATF 126 V 23 consid. 4b ; ATF 122 V 19 consid. 3a), que soient remplies les conditions d'une reconsidération ou d'une révision procédurale de la décision - formelle ou non - par laquelle les prestations en cause ont été allouées (ATF 130 V 318 consid. 5.2 ; arrêt du Tribunal fédéral des assurances P 32/06 du 14 novembre 2006 consid. 3 et les références citées). Ceci est confirmé sous l'empire de la LPGA (arrêt du Tribunal fédéral 8C_512/2008 du 4 janvier 2009 consid. 4). À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 ATF 122 V 134 consid. 2c ; ATF 122 V 169 V consid. 4a ;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 ATF 122 V 169 consid. 4a ; ATF 121 V 1 consid. 6). En ce qui concerne plus particulièrement la révision, l'obligation de restituer des prestations complémentaires indûment touchées et son étendue dans le temps n’est pas liée à une violation de l'obligation de renseigner (ATF 122 V 134 consid. 2e). Il s'agit simplement de rétablir l'ordre légal après la découverte du fait nouveau (arrêt du Tribunal fédéral 8C_120/2008 du 4 septembre 2008 consid. 3.1).</w:t>
      </w:r>
    </w:p>
    <w:p>
      <w:r>
        <w:rPr>
          <w:b/>
        </w:rPr>
        <w:t>E. 6</w:t>
      </w:r>
    </w:p>
    <w:p>
      <w:r>
        <w:t>a. En vertu de l'art. 25 al. 2 LPGA,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t>A/4509/2019 - 9/17 - Les délais de l’art. 25 al. 2 LPGA sont des délais (relatif et absolu) de péremption, qui doivent être examinés d'office (ATF 133 V 579 consid. 4 ; ATF 128 V 10 consid. 1). Le délai de péremption relatif d'une année commence à courir dès le moment où l'administration aurait dû connaître les faits fondant l'obligation de restituer, en faisant preuve de l'attention que l'on pouvait raisonnablement exiger d'elle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(ATF 133 V 579 consid. 5.1 non publié). À titre d'exemple, le Tribunal fédéral a considéré dans le cas de la modification des bases de calcul d'une rente par une caisse de compensation à la suite d'un divorce qu'un délai d'un mois pour rassembler les comptes individuels de l'épouse était largement suffisant (SVR 2004 IV N°41, consid. 4.3). À défaut de mise en œuvre des investigations, le début du délai de péremption doit être fixé au moment où l’administration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(ATF 133 V 579 consid. 5.1 non publié).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b. Lorsqu'il statue sur la créance de l'institution d'assurance en restitution de prestations indûment versées, le juge doit examiner, à titre préjudiciel, si les circonstances correspondant à une infraction pénale sont réunies et, partant, si un délai de péremption plus long que les délais relatifs et absolus prévus par l'art. 25 al. 2 LPGA est applicable dans le cas particulier. Pour que le délai de péremption plus long prévu par le droit pénal s'applique, il n'est pas nécessaire que l'auteur de l'infraction ait été condamné (ATF 140 IV 206 consid. 6.2 ; arrêt du Tribunal fédéral 8C_592/2007 du 20 août 2008 consid. 5.3 et les références citées). Dans un tel cas, les exigences constitutionnelles en matière d'appréciation des preuves en procédure pénale s'appliquent (ATF 138 V 74 consid. 7 ; arrêt du Tribunal fédéral 8C_592/2007 du 10 août 2008 consid. 5.3). L'autorité qui invoque le délai de prescription pénale doit en tous les cas produire des éléments démontrant le comportement punissable (ATF 138 V 74 consid. 6.1). Un acte punissable au sens de l'art. 25 al. 2 LPGA, suppose la réunion des éléments tant objectifs que</w:t>
      </w:r>
    </w:p>
    <w:p>
      <w:r>
        <w:t>A/4509/2019 - 10/17 - subjectifs de l'infraction (arrêt du Tribunal fédéral 8C_213/2016 du 4 novembre 2016 consid. 5.2). c. En matière de prestations complémentaires, ce sont principalement les art. 31 LPC, 146 et 148a du Code pénal du 21 décembre 1937 (CP - RS 311.0) qui entrent en considération lorsqu'il y a lieu de déterminer si le délai pénal doit trouver application. L'art. 31 LPC est subsidiaire aux crimes et délits de droit commun (arrêt du Tribunal fédéral 6S.288/2000 du 28 septembre 2000, consid. 2). d. Selon l'art. 31 LPC - également applicable en matière de prestations complémentaires cantonales conformément à l'art. 1A LPCC -, est puni, à moins qu'il ne s'agisse d'un crime ou d'un délit frappé d'une peine plus élevée par le CP, d'une peine pécuniaire n'excédant pas 180 jours-amende : - celui qui, par des indications fausses ou incomplètes, ou de toute autre manière, obtient d'un canton ou d'une institution d'utilité publique, pour lui-même ou pour autrui, l'octroi indu d'une prestation au sens de la présente loi (let. a) ; - celui qui, par des indications fausses ou incomplètes, ou de toute autre manière, obtient sans droit une subvention au sens de la présente loi (let. b) ; - celui qui n'observe pas l'obligation de garder le secret ou abuse, dans l'application de la présente loi, de sa fonction ou tire avantage de sa situation professionnelle au détriment de tiers ou pour son propre profit (let. c) ; - celui qui manque à son obligation de communiquer au sens de l'art. 31 al. 1 LPGA (let. d). Cette infraction consiste en l'obtention du paiement de prestations complémentaires par des indications trompeuses. Elle est réalisée lors du premier paiement de la prestation complémentaire. C'est à ce moment que tous les éléments objectifs et subjectifs sont réalisés (ATF 138 V 74 consid. 5.1). Sur le plan subjectif, l'art. 31 al. 1 LPC suppose un agissement intentionnel de l'auteur. Il convient donc d'examiner s'il a agi avec conscience et volonté. L'auteur agit déjà intentionnellement lorsqu'il tient pour possible la réalisation de l'infraction et l'accepte au cas où elle se produirait (art. 12 al. 1 et 2 CP applicable par renvoi de l'art. 333 al. 1 CP). L'intention doit porter sur tous les éléments constitutifs de l'infraction. L'auteur doit en outre avoir agi dans le dessein de se procurer ou de procurer à un tiers un enrichissement illégitime, correspondant au dommage de la dupe (ATF 134 IV 210 consid. 5.3). Pour apprécier s'il y dol éventuel au sens de l'art. 12 al. 2 2ème phrase CP, il y a lieu, en l'absence d'aveu, de se fonder sur les circonstances du cas d'espèce. En font partie l'importance du risque de réaliser l'infraction dont l'auteur avait conscience, la gravité de la violation du devoir de diligence par celui-ci, ses mobiles ainsi que la manière dont il a agi. On conclura d'autant plus aisément au fait que l'auteur de l'infraction a tenu pour possible la réalisation de l'infraction et l'a acceptée pour le cas où elle se produirait à mesure</w:t>
      </w:r>
    </w:p>
    <w:p>
      <w:r>
        <w:t>A/4509/2019 - 11/17 - que s'accroît la probabilité de réaliser les éléments constitutifs objectifs d'une infraction et que s'aggrave la violation du devoir de diligence (ATF 138 V 74 consid. 8.4.1). L'infraction visée à l'art. 31 al. 1 LPC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(art. 11 al. 2 let. a et b CP ; ATF 136 IV 188 consid.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(ATF 140 IV 11 consid. 2.3.2 et 2.4.1 et les références citées ; ATF 136 IV 188 consid. 6.2). Il n'est pas contesté qu'un contrat ou la loi puisse être la source d'une telle position de garant. N'importe quelle obligation juridique ou contractuelle ne suffit toutefois pas. En particulier, l'obligation de renseigner prévue par la loi ou un contrat ne crée pas à elle seule de position de garant (ATF 140 IV</w:t>
      </w:r>
    </w:p>
    <w:p>
      <w:r>
        <w:rPr>
          <w:b/>
        </w:rPr>
        <w:t>E. 11</w:t>
      </w:r>
    </w:p>
    <w:p>
      <w:r>
        <w:t>consid. 2.4 ; ATF 131 IV 83 consid. 2.1.3). e. L'assuré qui, en vertu de l'art. 31 LPGA,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les prestations allouées ne saurait être interprété comme la manifestation positive - par acte concluant - du caractère inchangé de la situation. Il convient en revanche d'analyser la situation de façon différente lorsque la perception de prestations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(ATF 140 IV 11 consid. 2.4.1 et consid. 2.4.6 in fine ; arrêt du Tribunal fédéral 6B_791/2013 du 3 mars 2014 consid. 3.1.1). Les indications écrites fournies chaque année à un titulaire de prestations complémentaires relatives à l'obligation de communiquer tout changement de circonstances doivent être comprises comme une exhortation à annoncer la survenance de telles modifications. Celui qui, après avoir dissimulé à l'administration une partie de ses revenus, ignore ces communications annuelles, tait l'existence d'éléments pertinents pour l'octroi de prestations. Ce faisant, il exprime tacitement, de façon mensongère vis-à-vis des autorités, que sa situation, respectivement les conditions pour le versement des prestations ne se sont pas modifiées. Son silence revient sur ce point à une déclaration expresse (silence qualifié), lui faisant commettre ainsi à chaque fois une tromperie par commission</w:t>
      </w:r>
    </w:p>
    <w:p>
      <w:r>
        <w:t>A/4509/2019 - 12/17 - (ATF 131 IV 83 consid. 2.2 et 2.5 ; arrêt du Tribunal fédéral 9C_232/2013 du</w:t>
      </w:r>
    </w:p>
    <w:p>
      <w:r>
        <w:rPr>
          <w:b/>
        </w:rPr>
        <w:t>E. 13</w:t>
      </w:r>
    </w:p>
    <w:p>
      <w:r>
        <w:t>Selon l'art. 61 let. g LPGA, le recourant qui obtient gain de cause a droit au remboursement de ses frais et dépens. L'assuré qui agit dans sa propre cause sans l'assistance d'un avocat n'a droit à des dépens que si la complexité et l'importance de son affaire exige un investissement en temps et en argent qui dépasse le cadre de ce qu'un individu doit normalement assumer dans la gestion de ses affaires (ATF 133 III 439 consid. 4 ; ATF 115 Ia 12 consid. 5 ; ATF 110 V 72 consid. 7 ; ATF 135 V 473 consid. 3.3 ; arrêt du Tribunal fédéral 9C_62/2015 du 20 novembre 2015 consid. 6.2).</w:t>
      </w:r>
    </w:p>
    <w:p>
      <w:r>
        <w:t>A/4509/2019 - 16/17 - En l'espèce, il ne sera pas alloué de dépens à la recourante qui a agi sans l'assistance d'un avocat dans une cause d'une complexité et d'une importance relatives n'ayant pas exigé un investissement particulier de sa part, au sens de la jurisprudence précitée.</w:t>
      </w:r>
    </w:p>
    <w:p>
      <w:r>
        <w:rPr>
          <w:b/>
        </w:rPr>
        <w:t>E. 14</w:t>
      </w:r>
    </w:p>
    <w:p>
      <w:r>
        <w:t>Au surplus, la procédure est gratuite (art. 61 let. a LPGA).</w:t>
      </w:r>
    </w:p>
    <w:p>
      <w:r>
        <w:t>A/4509/2019 - 17/17 -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