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ATAS/561/2019 vom 20. Juni 2019</w:t>
      </w:r>
    </w:p>
    <w:p>
      <w:r>
        <w:t>GE Cour de justice, 2019-06-20, FR</w:t>
      </w:r>
    </w:p>
    <w:p>
      <w:r>
        <w:rPr>
          <w:b/>
        </w:rPr>
        <w:t xml:space="preserve">Quelle: </w:t>
      </w:r>
      <w:r>
        <w:t>https://mcp.opencaselaw.ch/entscheid/ge_gerichte_ATAS_561_2019</w:t>
      </w:r>
    </w:p>
    <w:p>
      <w:r>
        <w:t>FR: GE_GERICHTE ATAS/561/2019 du 20 juin 2019</w:t>
      </w:r>
    </w:p>
    <w:p>
      <w:r>
        <w:t>IT: GE_GERICHTE ATAS/561/2019 del 20 giugno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 J 4 20]; art. 43 LPCC).</w:t>
      </w:r>
    </w:p>
    <w:p>
      <w:r>
        <w:t>A/1647/2017 - 6/11 -</w:t>
      </w:r>
    </w:p>
    <w:p>
      <w:r>
        <w:rPr>
          <w:b/>
        </w:rPr>
        <w:t>E. 4</w:t>
      </w:r>
    </w:p>
    <w:p>
      <w:r>
        <w:t>Le litige porte sur le montant et le calcul des prestations complémentaires, en particulier sur l'intégration dans le calcul de montants correspondant à des biens dessaisis et à une rente du 2ème pilier hypothétique.</w:t>
      </w:r>
    </w:p>
    <w:p>
      <w:r>
        <w:rPr>
          <w:b/>
        </w:rPr>
        <w:t>E. 5</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 Ont droit aux prestations complémentaires cantonales les personnes dont le revenu annuel déterminant n’atteint pas le revenu minimum cantonal d’aide sociale applicable (art. 4 LPCC).</w:t>
      </w:r>
    </w:p>
    <w:p>
      <w:r>
        <w:rPr>
          <w:b/>
        </w:rPr>
        <w:t>E. 6</w:t>
      </w:r>
    </w:p>
    <w:p>
      <w:r>
        <w:t>Par dessaisissement, il faut entendre, en particulier, la renonciation à des éléments de revenu ou de fortune sans obligation juridique ni contre-prestation équivalente (ATF 123 V 35 consid. 1; ATF 121 V 204 consid. 4a). Pour vérifier s'il y a contre- prestation équivalente et pour fixer la valeur d'un éventuel dessaisissement, il faut comparer la prestation et la contre-prestation à leurs valeurs respectives au moment de ce dessaisissement (ATF 120 V 182 consid. 4b; arrêt du Tribunal fédéral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Les conditions pour la prise en compte d'un dessaisissement de fortune sont alternatives. Pour qu'un dessaisissement de fortune puisse être pris en compte dans le calcul des prestations complémentaires, la jurisprudence soumet cet acte à la condition qu'il ait été fait "sans obligation juridique", respectivement "sans avoir reçu en échange une contre-prestation équivalente". Les deux conditions précitées ne sont pas cumulatives, mais alternatives. La question de savoir si la renonciation à un élément de fortune en accomplissement d'un devoir moral constitue un dessaisissement de fortune au sens de l'art. 3c al. 1 let. g aLPC, a été laissée ouverte (ATF 131 V 329 consid. 4.2 à 4.4). Il y a lieu de prendre en compte dans le revenu déterminant tout dessaisissement sans limite de temps (Pierre FERRARI, Dessaisissement volontaire et prestations complémentaires à l'AVS/AI in RSAS 2002, p. 420).</w:t>
      </w:r>
    </w:p>
    <w:p>
      <w:r>
        <w:t>A/1647/2017 - 7/11 - Le Tribunal fédéral a considéré qu'il n'y avait pas dessaisissement dans le cas d'une assurée ayant épuisé sa fortune après avoir vécu dans un certain luxe (ATF 115 V 352 consid. 5b). L'existence d'un dessaisissement de fortune ne peut être admise que si l'assuré renonce à des biens sans obligation légale, ni contre-prestation adéquate. Lorsque cette condition n'est pas réalisée,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3c al. 1 let. g LPC - de ne pas se préoccuper des raisons de cette situation (VSI 1994 p. 225 s. consid. 3b ; arrêt du Tribunal fédéral des assurances P 65/04 du 29 août 2005 consid. 5.3.1).</w:t>
      </w:r>
    </w:p>
    <w:p>
      <w:r>
        <w:rPr>
          <w:b/>
        </w:rPr>
        <w:t>E. 7</w:t>
      </w:r>
    </w:p>
    <w:p>
      <w:r>
        <w:t>A teneur de l'art. 17a de l'ordonnance sur les prestations complémentaires à l’assurance-vieillesse, survivants et invalidité du 15 janvier 1971 (OPC-AVS/AI - RS 831.301), la part de fortune dessaisie à prendre en compte (art. 11 al. 1 let. g LPC) est réduite chaque année de CHF 10’000 francs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Le Tribunal fédéral a admis la conformité de cette disposition à la loi et à la Constitution (ATF 118 V 150 consid. 3c/cc). En cas de dessaisissement d'une part de fortune, le calcul de la prestation complémentaire doit se faire comme si l'ayant droit avait obtenu une contre- prestation équivalente pour le bien cédé. Le revenu déterminant est donc augmenté, d'abord, d'une fraction de la valeur de ce bien conformément à l'art. 11 al. 1 let. c LPC. Il est augmenté, ensuite, du revenu que la contre-prestation aurait procuré à l'ayant droit (arrêt du Tribunal fédéral 8C_68/2008 du 27 janvier 2009 consid. 4.2.2). En règle générale, la jurisprudence se réfère, pour fixer ce revenu, au taux d'intérêt moyen sur les dépôts d'épargne servi par l'ensemble des banques au cours de l'année précédant celle de l'octroi de la prestation complémentaire (ATF 123 V 35 consid. 2a). On présume ainsi que l'ayant droit, à supposer qu'il ne se soit pas dessaisi de sa fortune, en aurait mis une partie à contribution pour subvenir à ses besoins; l'amortissement prévu par l'art. 17a OPC-AVS/AI n'est cependant admis que sous la forme d'un forfait indépendant du montant exact de la fortune dessaisie ou de celle dont dispose encore l'ayant droit (cf. ATF 118 V 150 consid. 3; arrêt du Tribunal fédéral 8C_68/2008 du 27 janvier 2009 consid. 4.2.2.).</w:t>
      </w:r>
    </w:p>
    <w:p>
      <w:r>
        <w:t>A/1647/2017 - 8/11 - Les parts de fortune dont un ayant droit s'est dessaisi doivent être prises en compte avec un produit de cette fortune même lorsque celui-ci n'est, effectivement, pas réalisé, mais qu'il pourrait raisonnablement l'être (ATF 110 V 17 consid. 4). Il importe dès lors de prendre en compte le produit de la fortune que le recourant aurait pu réaliser - s'il n'avait pas renoncé à des intérêts sur le prêt accordé - par un placement avec intérêt de la fortune cédée. Selon la jurisprudence et sous réserve de circonstances particulières du cas d'espèce, le taux d'intérêt est fixé en fonction des conditions générales du marché. A cet égard, on se réfère habituellement à l'intérêt moyen pratiqué pour les dépôts d'épargne par les cinq plus grandes banques cantonales selon l'Annuaire statistique de la Suisse (ATF 110 V 17 consid. 5b). Comme cet Annuaire statistique détermine l'intérêt moyen pour les dépôts d'épargne en prenant pour base le taux appliqué dans chaque banque, c'est ce dernier taux qu'il faut considérer. Pour des raisons d'ordre pratique et d'égalité de traitement, il convient de se fonder en règle générale sur l'intérêt moyen en vigueur de l'année précédant celle pour laquelle la prestation est servie (ATF 120 V 182 consid. 4e; VSI 1994 p. 161 consid. 4b). Dans les cas où le taux de référence n'est pas encore connu au moment du prononcé de la décision ; il y a lieu de prendre en considération la moyenne des taux mensuels des comptes d'épargne auprès des banques cantonales, publiés dans les bulletins de la Banque nationale suisse, sur une période de douze mois à compter du mois de novembre de la seconde année précédant celle où le droit a pris naissance (ATF 123 V 247 consid. 2b). La prise en compte dans le calcul des prestations complémentaires d'un revenu hypothétique de la fortune n'intervient pas seulement en cas de dessaisissement simultané de la part de fortune en question. Si l'assuré conserve à domicile un capital d'une certaine importance, il est réputé avoir renoncé à des éléments du revenu déterminant (VSI 1997 p. 264, consid. 3b).</w:t>
      </w:r>
    </w:p>
    <w:p>
      <w:r>
        <w:rPr>
          <w:b/>
        </w:rPr>
        <w:t>E. 8</w:t>
      </w:r>
    </w:p>
    <w:p>
      <w:r>
        <w:t>février 2017).</w:t>
      </w:r>
    </w:p>
    <w:p>
      <w:r>
        <w:rPr>
          <w:b/>
        </w:rPr>
        <w:t>E. 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 prestation adéquate ne peut pas se prévaloir d'une diminution correspondante de sa fortune, mais doit accepter que l'on s'enquière des motifs de cette diminution et, en l'absence de la preuve requise, que l'on tienne compte d'une fortune hypothétique (arrêt du Tribunal fédéral des assurances P 65/04 du 29 août 2005 consid. 5.3.2; VSI 1994 p. 227 consid. 4b).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 Pour que l'on puisse admettre qu'une renonciation à des éléments de fortune ne constitue pas un dessaisissement, il faut que soit établie une corrélation directe entre cette renonciation et la contre-prestation considérée comme équivalente. Cela implique nécessairement un rapport de connexité temporelle étroit entre l'acte de dessaisissement proprement dit et l'acquisition de la contre-valeur correspondante (arrêt du Tribunal fédéral 9C_945/2011 du 11 juillet 2012 consid. 6.2).</w:t>
      </w:r>
    </w:p>
    <w:p>
      <w:r>
        <w:rPr>
          <w:b/>
        </w:rPr>
        <w:t>E. 10</w:t>
      </w:r>
    </w:p>
    <w:p>
      <w:r>
        <w:t>En l’occurrence, le recourant, malgré plusieurs prolongations de délai, n’a finalement pu produire des justificatifs de dépenses que pour les années 2008 et 2010. Se basant sur les dits documents, le SPC a procédé à de nouveaux calculs, au terme desquels il a proposé d’admettre, pour 2008, CHF 20'377.05 de dépenses justifiées par les débits bancaires et CHF 2'909.- supplémentaires à titre de dépenses pour primes d’assurance-maladie, réduisant ainsi le montant du dessaisissement pour cette année-là de CHF 100'280.- à CHF 76'993.95.</w:t>
      </w:r>
    </w:p>
    <w:p>
      <w:r>
        <w:t>A/1647/2017 - 10/11 - De la même manière, pour l’année 2010, le SPC a proposé d’admettre CHF 15'390.95 de dépenses justifiées par les débits bancaires, étant relevé que le montant retenu à titre de primes d’assurance-maladie était légèrement supérieur à la réalité (CHF 5'232.- selon la taxation fiscale d’office de cette année-là, CHF 4'775.20 en réalité). Au vu de ces éléments, le montant du dessaisissement 2010 peut être réduit de CHF 48'06.60 à CHF 32'098.65. Les nouveaux calculs opérés par l’intimé n’apparaissent pas critiquables. En particulier, ainsi que cela ressort de la jurisprudence rappelée supra, il est légitime de tenir compte d’une rente de prévoyance hypothétique dans la mesure où il n’a pas été établi que le capital de prévoyance avait été entièrement utilisé selon le calcul de la couverture des besoins. Au vu de ce qui précède, le recours est partiellement admis dans le sens proposé par l’intimé et la cause lui est renvoyée pour calcul des prestations dues. Le recours est rejeté pour le surplus. La procédure est gratuite.</w:t>
      </w:r>
    </w:p>
    <w:p>
      <w:r>
        <w:t>A/1647/2017 - 11/11 -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