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ATAS/561/2015 vom 14. Juli 2015</w:t>
      </w:r>
    </w:p>
    <w:p>
      <w:r>
        <w:t>GE Cour de justice, 2015-07-14, FR</w:t>
      </w:r>
    </w:p>
    <w:p>
      <w:r>
        <w:rPr>
          <w:b/>
        </w:rPr>
        <w:t xml:space="preserve">Quelle: </w:t>
      </w:r>
      <w:r>
        <w:t>https://mcp.opencaselaw.ch/entscheid/ge_gerichte_ATAS_561_2015</w:t>
      </w:r>
    </w:p>
    <w:p>
      <w:r>
        <w:t>FR: GE_GERICHTE ATAS/561/2015 du 14 juillet 2015</w:t>
      </w:r>
    </w:p>
    <w:p>
      <w:r>
        <w:t>IT: GE_GERICHTE ATAS/561/2015 del 14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droit de l’OCE de prononcer à l’encontre de l’assuré une suspension d’une durée de 31 jours dans l’exercice de son droit aux indemnités de l’assurance-chômage, au motif qu’il a laissé échapper une possibilité d’emploi.</w:t>
      </w:r>
    </w:p>
    <w:p>
      <w:r>
        <w:rPr>
          <w:b/>
        </w:rPr>
        <w:t>E. 4</w:t>
      </w:r>
    </w:p>
    <w:p>
      <w:r>
        <w:t>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Le fait de ne pas se déclarer inconditionnellement prêt à accepter un emploi, en exigeant par exemple un salaire trop élevé ou un emploi temporaire, est également assimilé par la jurisprudence au refus d'un travail convenable (arrêts du Tribunal fédéral non publiés du 22 février 2007, cause C 17/07, consid. 2 et 3; et du 13 décembre 2005, cause C272/05 consid. 2 et 3).</w:t>
      </w:r>
    </w:p>
    <w:p>
      <w:r>
        <w:t>A/1215/2015 - 7/10 -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La chambre de céans a déjà eu l'occasion de considérer qu'un assuré qui, par négligence et non pas délibérément, n'a pas observé les instructions de l'autorité compétente, notamment en ne se présentant pas à une assignation pour un emploi, a commis une faute moyenne (ATAS/659/2011; ATAS/1031/2011; ATAS/533/2012).</w:t>
      </w:r>
    </w:p>
    <w:p>
      <w:r>
        <w:rPr>
          <w:b/>
        </w:rPr>
        <w:t>E. 5</w:t>
      </w:r>
    </w:p>
    <w:p>
      <w:r>
        <w:t>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w:t>
      </w:r>
    </w:p>
    <w:p>
      <w:r>
        <w:t>A/1215/2015 - 8/10 -</w:t>
      </w:r>
    </w:p>
    <w:p>
      <w:r>
        <w:rPr>
          <w:b/>
        </w:rPr>
        <w:t>E. 6</w:t>
      </w:r>
    </w:p>
    <w:p>
      <w:r>
        <w:t>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30 al. 3, 3ème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w:t>
      </w:r>
    </w:p>
    <w:p>
      <w:r>
        <w:rPr>
          <w:b/>
        </w:rPr>
        <w:t>E. 7</w:t>
      </w:r>
    </w:p>
    <w:p>
      <w:r>
        <w:t>En l'espèce, il est établi que l'assuré a reçu une assignation à un emploi de polygraphe, un emploi au demeurant convenable, ce qu’il ne conteste pas. Il lui est en revanche reproché d'avoir fait échouer cette possibilité d'emploi, M. C______ n’ayant pas retenu sa candidature, au motif qu’il n’était pas suffisamment motivé, et qu’il ne s’était pas remis de son échec suite à une formation auprès de la police municipale. La chambre de céans constate que l’assuré n’a pas refusé l’emploi proposé. Bien au contraire. Non seulement, il s’est rendu à l’entretien, mais il s’est expressément déclaré satisfait des conditions salariales après que M. C______ lui eut expliqué que son expérience serait prise en considération par le jeu des annuités. M. C______ a considéré que l’habillement de l’assuré n’était pas adéquat pour un entretien d’embauche et relevé que celui-ci n’avait pris aucun document avec lui (CV, etc.). Or, l’assuré a affirmé qu’il était vêtu simplement et proprement, d’un jeans et d’une veste. M. C______ a quant à lui déclaré qu’il ne se souvenait pas de la façon dont était habillé l’assuré, mais a reconnu qu’un jeans faisait l’affaire. L’assuré a par ailleurs expliqué qu’il n’avait pas jugé utile de prendre un CV ou tout autre document partant de l’idée que sa conseillère avait déjà communiqué toutes les pièces nécessaires à son interlocuteur. M. C______ a finalement reconnu qu’il disposait du dossier complet de l’assuré, de sorte qu’il n’avait besoin d’aucun document complémentaire. Alors qu’il s’était plaint dans un premier temps de ce que l’assuré « avait immédiatement parlé de son échec à la police », M. C______ a indiqué, en audience, que « je lui ai demandé de me parler de son parcours professionnel. Il m’a alors expliqué sa formation à l’école de police municipale et son échec ». Il y a ainsi lieu de constater que l’assuré a expliqué ce qui lui était arrivé parce que la question lui avait été posée.</w:t>
      </w:r>
    </w:p>
    <w:p>
      <w:r>
        <w:t>A/1215/2015 - 9/10 - Il convient à cet égard de rappeler qu’après avoir travaillé une douzaine d’années comme imprimeur pour le même employeur, l’assuré avait décidé de suivre une formation à l’école de la police municipale durant sept mois. Ce changement d’orientation, au demeurant courageux, est à saluer et il est compréhensible qu’un échec à l’issue de ces sept mois l’ait déçu et soit « difficile à digérer ». Le fait est que lorsque l’entretien a eu lieu, l’échec venait de se produire. La chambre de céans peine à comprendre l’inquiétude de M. C______ en relation avec ce changement d’orientation. M. C______ a expliqué qu’il avait « eu l’impression que l’assuré ne tirait rien de positif de ses explications, rien de constructif », qu’ « il n’avait pas de dynamique positive », que « pour lui c’est un peu toujours la faute de quelqu’un ». Ces impressions ont eu pour conséquence que l’assuré n’a pas été engagé. Force est toutefois de constater qu’elles sont subjectives et, partant, ne sauraient fonder une sanction autre que le non-engagement. M. C______ a entendu deux candidats, il lui fallait en retenir un seul pour le poste à repourvoir. Le choix fait en faveur de l’autre candidat ne justifie pas qu’une pénalité supplémentaire soit prononcée à l’encontre de l’assuré. On ne saurait dès lors, au vu de ce qui précède, soutenir, au degré de vraisemblance requis par la jurisprudence, que l'assuré a fait échouer une possibilité d'emploi, assimilable à un refus de travail convenable au sens de l'art. 45 al. 3 OACI. Aussi y a-t-il lieu d’annuler la sanction prononcée à son égard. Le recours est en conséquence admis.</w:t>
      </w:r>
    </w:p>
    <w:p>
      <w:r>
        <w:t>A/1215/2015 - 10/10 -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