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ATAS/561/2014 vom 30. April 2014</w:t>
      </w:r>
    </w:p>
    <w:p>
      <w:r>
        <w:t>GE Cour de justice, 2014-04-30, FR</w:t>
      </w:r>
    </w:p>
    <w:p>
      <w:r>
        <w:rPr>
          <w:b/>
        </w:rPr>
        <w:t xml:space="preserve">Quelle: </w:t>
      </w:r>
      <w:r>
        <w:t>https://mcp.opencaselaw.ch/entscheid/ge_gerichte_ATAS_561_2014</w:t>
      </w:r>
    </w:p>
    <w:p>
      <w:r>
        <w:t>FR: GE_GERICHTE ATAS/561/2014 du 30 avril 2014</w:t>
      </w:r>
    </w:p>
    <w:p>
      <w:r>
        <w:t>IT: GE_GERICHTE ATAS/561/2014 del 30 aprile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la décision litigieuse du 3 décembre 2013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3.3</w:t>
      </w:r>
    </w:p>
    <w:p>
      <w:r>
        <w:t>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l’assuré à une rente invalidité, singulièrement sur la méthode à appliquer pour le calcul de l’invalidité.</w:t>
      </w:r>
    </w:p>
    <w:p>
      <w:r>
        <w:t>A/4058/2013 - 8/13 -</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w:t>
      </w:r>
    </w:p>
    <w:p>
      <w:r>
        <w:t>A/4058/2013 - 9/13 -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9</w:t>
      </w:r>
    </w:p>
    <w:p>
      <w:r>
        <w:t>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w:t>
      </w:r>
    </w:p>
    <w:p>
      <w:r>
        <w:t>A/4058/2013 - 10/13 - l'évaluation de l'invalidité (ATFA non publiés I 168/05 du 24 avril 2006, consid.</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12</w:t>
      </w:r>
    </w:p>
    <w:p>
      <w:r>
        <w:t>Selon la jurisprudence, en présence de deux versions différentes et contradictoires d'un fait, la préférence est accordée à celle que l'assuré a donnée alors qu'il en ignorait peut-être les conséquences juridiques, les explications nouvelles pouvant être consciemment ou non le fruit de réflexions ultérieures (ATF 121 V 45 consid. 2a). Cette jurisprudence dite des «premières déclarations ou des déclarations de la première heure» s'applique de manière générale en matière d'assurances sociales (ATF non publié 9C_663/2009 du 1er février 2010, consid. 3.2).</w:t>
      </w:r>
    </w:p>
    <w:p>
      <w:r>
        <w:rPr>
          <w:b/>
        </w:rPr>
        <w:t>E. 13</w:t>
      </w:r>
    </w:p>
    <w:p>
      <w:r>
        <w:t>En l’espèce, seule est litigieuse la question de la méthode de calcul de l’invalidité, le recourant se prévalant de la méthode mixte alors que l’intimé applique la méthode de comparaison des revenus.</w:t>
      </w:r>
    </w:p>
    <w:p>
      <w:r>
        <w:t>A/4058/2013 - 11/13 -</w:t>
      </w:r>
    </w:p>
    <w:p>
      <w:r>
        <w:rPr>
          <w:b/>
        </w:rPr>
        <w:t>E. 14</w:t>
      </w:r>
    </w:p>
    <w:p>
      <w:r>
        <w:t>Il ressort du dossier que, dans les premières pièces du dossier, le recourant a toujours mentionné travailler à 100%. Dans sa demande de prestations à l’assurance invalidité du 29 juillet 2012, il a indiqué (ch. 5.4) être physiothérapeute et exercer à 100% en qualité d’indépendant. Dans la déclaration faite à la Mobilière en juin 2012, l’intéressé a indiqué que son horaire était de 5 jours par semaine, à raison de 40 heures. A la question de l’horaire hebdomadaire de l’entreprise, il a mentionné 40 heures. Il ressort du procès-verbal de l’entretien du 19 septembre 2012 que l’assuré a mentionné un taux d’activité de 100% (page 2). Le document rempli pour Swiss life et signé par le recourant le 15 juillet 2012 mentionne qu’il travaille à temps complet, 42 heures par semaine, en qualité de physiothérapeute indépendant. Lors de la transmission, le 3 mai 2013, de ses bilans et comptes de pertes et profits, le recourant a précisé « je vous ferai suivre dès réception mon bilan comptable 2012 tenant compte de mon activité de physiothérapie du 1er janvier 2012 au 26 avril 2012 à 100% puis à 50% du 27 avril au 28 mai 2012 ». Lors de son envoi du 31 mai 2013, il a confirmé le taux d’activité de 100% jusqu’au début de son incapacité de travail, le 26 avril 2012. Le projet de décision de l’OAI du 21 octobre 2013 mentionnait clairement que le statut d’assuré retenu était celui d’une personne indépendante à 100%. Ce point n’a pas fait l’objet de contestation de la part de l’assuré dans sa lettre du 4 novembre 2013. La contestation du taux d’activité (de 100% en faveur d’un statut mixte avec activité lucrative de 72%) n’a été alléguée la première fois que dans le cadre du recours. Les affirmations selon lesquelles l’intéressé aurait dû diminuer son taux d’activité à cause de cette atteinte à sa santé depuis de nombreuses années ne résiste pas non plus à l’examen au vu du certificat médical de son médecin traitant du 6 juin 2012 à la Mobilière selon lequel les premiers symptômes de l’affection n’étaient apparus que six mois auparavant. De même les comparaisons mathématiques faites par le recourant entre un total de 1'920 heures annuelles pour une activité à temps plein et la simple addition de ses consultations facturées ne résistent pas à l’examen, toute activité indépendante comprenant une part non facturable directement au client. Enfin, l’argument selon lequel M. A______ avait réduit depuis plusieurs années son taux d’activité compte tenu des nécessités du ménage composé de deux adultes et trois enfants ne résistent pas à l’examen compte tenu des déclarations de l’assuré lui-même, jusqu’à la date à laquelle il a interjeté recours.</w:t>
      </w:r>
    </w:p>
    <w:p>
      <w:r>
        <w:t>A/4058/2013 - 12/13 - Les allégations du recourant n’apparaissent donc pas convaincantes dans la mesure elles contredisent ses premières déclarations. C’est ainsi à juste titre que l’OAI s’est fondée sur la méthode générale de comparaison des revenus.</w:t>
      </w:r>
    </w:p>
    <w:p>
      <w:r>
        <w:rPr>
          <w:b/>
        </w:rPr>
        <w:t>E. 15</w:t>
      </w:r>
    </w:p>
    <w:p>
      <w:r>
        <w:t>La conclusion tendant à ce qu’une enquête ménagère soit effectuée n’est pas pertinente vu ce qui précède.</w:t>
      </w:r>
    </w:p>
    <w:p>
      <w:r>
        <w:rPr>
          <w:b/>
        </w:rPr>
        <w:t>E. 16</w:t>
      </w:r>
    </w:p>
    <w:p>
      <w:r>
        <w:t>Les montants des revenus avec et sans invalidité ne sont plus contestés. Le taux d’invalidité de 36% est fondé. Il n’ouvre pas droit à une rente.</w:t>
      </w:r>
    </w:p>
    <w:p>
      <w:r>
        <w:rPr>
          <w:b/>
        </w:rPr>
        <w:t>E. 17</w:t>
      </w:r>
    </w:p>
    <w:p>
      <w:r>
        <w:t>Au vu de ce qui précède, le recours sera rejeté. Etant donné que depuis le 1er juillet 2006, la procédure n'est plus gratuite (art. 69 al. 1bis LAI), il y a lieu de condamner le recourant au paiement d'un émolument de 200 fr.</w:t>
      </w:r>
    </w:p>
    <w:p>
      <w:r>
        <w:t>A/4058/2013 - 13/13 -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