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ATAS/561/2011 vom 31. Mai 2011</w:t>
      </w:r>
    </w:p>
    <w:p>
      <w:r>
        <w:t>GE Cour de justice, 2011-05-31, FR</w:t>
      </w:r>
    </w:p>
    <w:p>
      <w:r>
        <w:rPr>
          <w:b/>
        </w:rPr>
        <w:t xml:space="preserve">Quelle: </w:t>
      </w:r>
      <w:r>
        <w:t>https://mcp.opencaselaw.ch/entscheid/ge_gerichte_ATAS_561_2011</w:t>
      </w:r>
    </w:p>
    <w:p>
      <w:r>
        <w:t>FR: GE_GERICHTE ATAS/561/2011 du 31 mai 2011</w:t>
      </w:r>
    </w:p>
    <w:p>
      <w:r>
        <w:t>IT: GE_GERICHTE ATAS/561/2011 del 31 maggio 2011</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w:t>
      </w:r>
    </w:p>
    <w:p>
      <w:r>
        <w:rPr>
          <w:b/>
        </w:rPr>
        <w:t>E. 2</w:t>
      </w:r>
    </w:p>
    <w:p>
      <w:r>
        <w:t>L'assuré a déposé une requête en mesures provisionnelles visant à la mise sur pied d'une expertise médicale. L'expertise à laquelle l'assuré souhaite être soumis a pour but de déterminer s'il y a un lien de causalité entre sa chute du 9 juillet 2009 et les lésions mises en évidence en janvier 2010, et partant son droit à la prise en charge par l'assureur des frais inhérents à l'intervention de réinsertion notamment.</w:t>
      </w:r>
    </w:p>
    <w:p>
      <w:r>
        <w:rPr>
          <w:b/>
        </w:rPr>
        <w:t>E. 3</w:t>
      </w:r>
    </w:p>
    <w:p>
      <w:r>
        <w:t>a) Aux termes de l'art. 21 de la loi sur la procédure administrative du 12 septembre 1985 (LPA), l'autorité peut d'office ou sur requête ordonner des mesures provisionnelles en exigeant au besoin des sûretés (al. 1). Ces mesures sont ordonnées par le président s'il s'agit d'une autorité collégiale ou d'une juridiction administrative (al. 2). b) Les mesures provisionnelles (ou provisoires) sont les mesures qu'une partie peut requérir du juge pour la protection provisoire de son droit pendant la durée du procès au fond et, dans certains cas, avant même l'ouverture de celui-ci; si ces mesures n'étaient pas ordonnées, son droit risquerait d'être irrémédiablement compromis. Il est évident que de telles mesures ne seront ordonnées que si elles sont efficaces et propres à atteindre le but visé par le requérant (ATFA du 27 mai 2005, cause K 10/05).</w:t>
      </w:r>
    </w:p>
    <w:p>
      <w:r>
        <w:rPr>
          <w:b/>
        </w:rPr>
        <w:t>E. 4</w:t>
      </w:r>
    </w:p>
    <w:p>
      <w:r>
        <w:t>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w:t>
      </w:r>
    </w:p>
    <w:p>
      <w:r>
        <w:t>A/687/2011 - 5/8 -</w:t>
      </w:r>
    </w:p>
    <w:p>
      <w:r>
        <w:rPr>
          <w:b/>
        </w:rPr>
        <w:t>E. 5</w:t>
      </w:r>
    </w:p>
    <w:p>
      <w:r>
        <w:t>Force est de constater que l'assureur n'a encore rendu aucune décision à cet égard. Or, la nature même de la mesure provisionnelle implique que l'on se trouve dans le cadre d'une procédure principale. Des mesures provisionnelles ne se justifient en effet qu'en relation avec l'objet et la durée de la procédure principale (ATAS/1295/2008). Aussi la Cour de céans n'est-elle à ce stade pas habilitée à prendre de telles mesures, de sorte que la requête du 4 mars 2011 doit être déclarée irrecevable. En tout état de cause, il sera rappelé que les mesures provisionnelles ne sont légitimes que si elles s’avèrent nécessaires au maintien de l’état de fait ou à la sauvegarde des intérêts compromis (ATF 119 V 506 consid.3). Elles présupposent en outre l’urgence, dans le sens qu’il doit être nécessaire d’ordonner la mesure requise immédiatement et l'intéressé doit subir un inconvénient, en l’absence d’une mesure provisionnelle, qui ne peut pas facilement être réparé, étant précisé qu’un intérêt de fait, en particulier économique, est suffisant (ATF 130 II 155 consid. 2.2). Ces conditions ne sont à l'évidence pas remplies dans le cas d'espèce, au vu des nombreuses pièces médicales déjà collectées dans ce dossier, étant précisé que le fait de subir l'intervention chirurgicale de réinsertion prévue "n'effacera pas les traces de l'accident" comme le craint l'assuré, mais au contraire ne manquera pas d'apporter des informations médicales complémentaires au dossier déjà constitué.</w:t>
      </w:r>
    </w:p>
    <w:p>
      <w:r>
        <w:rPr>
          <w:b/>
        </w:rPr>
        <w:t>E. 6</w:t>
      </w:r>
    </w:p>
    <w:p>
      <w:r>
        <w:t>Il ressort par ailleurs des écritures de l'assuré qu'il se plaint en réalité d'une inaction de l'assureur, de sorte que l'on peut se demander si sa requête ne devrait pas être requalifiée de recours pour déni de justice. En effet,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w:t>
      </w:r>
    </w:p>
    <w:p>
      <w:r>
        <w:rPr>
          <w:b/>
        </w:rPr>
        <w:t>E. 7</w:t>
      </w:r>
    </w:p>
    <w:p>
      <w:r>
        <w:t>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w:t>
      </w:r>
    </w:p>
    <w:p>
      <w:r>
        <w:t>A/687/2011 - 6/8 -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On ne saurait par ailleurs reprocher à une autorité quelques temps morts; ceux-ci sont inévitables dans une procédure (cf. ATF 124 et 119 précités).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MÜLLER, op. cit., p.</w:t>
      </w:r>
    </w:p>
    <w:p>
      <w:r>
        <w:t>A/687/2011 - 7/8 - 506 s.; HAEFLIGER /SCHÜRMANN,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Dans le cadre d'une appréciation d'ensemble, il faut également tenir compte du fait qu'en matière d'assurances sociales le législateur accorde une importance particulière à une liquidation rapide des procès (ATF 126 V 249 consid. 4a).</w:t>
      </w:r>
    </w:p>
    <w:p>
      <w:r>
        <w:rPr>
          <w:b/>
        </w:rPr>
        <w:t>E. 8</w:t>
      </w:r>
    </w:p>
    <w:p>
      <w:r>
        <w:t>Il résulte des pièces du dossier que l'assureur a traité celui-ci sans lenteur excessive, étant précisé que quelques temps morts, pour autant qu'il y en ait eu dans le cas d'espèce, sont inévitables dans une procédure. Aussi le recours pour déni de justice doit-il être rejeté.</w:t>
      </w:r>
    </w:p>
    <w:p>
      <w:r>
        <w:t>A/687/2011 - 8/8 -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