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ATAS/560/2024 vom 3. Juli 2024</w:t>
      </w:r>
    </w:p>
    <w:p>
      <w:r>
        <w:t>GE Cour de justice, 2024-07-03, FR</w:t>
      </w:r>
    </w:p>
    <w:p>
      <w:r>
        <w:rPr>
          <w:b/>
        </w:rPr>
        <w:t xml:space="preserve">Quelle: </w:t>
      </w:r>
      <w:r>
        <w:t>https://mcp.opencaselaw.ch/entscheid/ge_gerichte_ATAS_560_2024</w:t>
      </w:r>
    </w:p>
    <w:p>
      <w:r>
        <w:t>FR: GE_GERICHTE ATAS/560/2024 du 3 juillet 2024</w:t>
      </w:r>
    </w:p>
    <w:p>
      <w:r>
        <w:t>IT: GE_GERICHTE ATAS/560/2024 del 3 luglio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La chambre de céans constate que le recours, interjeté en temps utile (art. 60 al. 1 LPGA) est recevable à la forme.</w:t>
      </w:r>
    </w:p>
    <w:p>
      <w:r>
        <w:rPr>
          <w:b/>
        </w:rPr>
        <w:t>E. 2</w:t>
      </w:r>
    </w:p>
    <w:p>
      <w:r>
        <w:t>À ce stade de la procédure, le litige porte exclusivement sur la question de savoir si c'est à juste titre que l'intimé a qualifié l'opposition formée par l'assuré de tardive et l'a déclarée irrecevable. 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w:t>
      </w:r>
    </w:p>
    <w:p>
      <w:r>
        <w:t>A/1218/2024 - 4/5 -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En l’espèce, le recourant ne conteste pas avoir formé l’opposition du 12 mars 2024 après le délai légal de 30 jours dès la notification de la décision du 18 janvier 2024.</w:t>
      </w:r>
    </w:p>
    <w:p>
      <w:r>
        <w:rPr>
          <w:b/>
        </w:rPr>
        <w:t>E. 3</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112 V 256 consid. 2a). En l'espèce, une restitution du délai de recours au sens de l'art. 41 al. 1 LPGA ne se justifie pas. En effet, le recourant n'invoque aucun motif légal qui l'aurait empêché d'agir dans le délai et pouvant justifier une restitution du délai. Le fait qu’il ait mal compris la portée du courrier du 23 janvier 2024 ne constitue pas un motif valable de restitution du délai, dès lors qu’il était clair.</w:t>
      </w:r>
    </w:p>
    <w:p>
      <w:r>
        <w:rPr>
          <w:b/>
        </w:rPr>
        <w:t>E. 4</w:t>
      </w:r>
    </w:p>
    <w:p>
      <w:r>
        <w:t>En l'absence de motif valable de restitution de délai, c'est dès lors à juste titre que l'intimé a qualifié l'opposition d'irrecevable pour cause de tardiveté. Le recours doit donc être rejeté. Pour le surplus, la procédure est gratuite.</w:t>
      </w:r>
    </w:p>
    <w:p>
      <w:r>
        <w:t>A/1218/2024 - 5/5 -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