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ATAS/560/2022 vom 9. Juni 2022</w:t>
      </w:r>
    </w:p>
    <w:p>
      <w:r>
        <w:t>GE Cour de justice, 2022-06-09, FR</w:t>
      </w:r>
    </w:p>
    <w:p>
      <w:r>
        <w:rPr>
          <w:b/>
        </w:rPr>
        <w:t xml:space="preserve">Quelle: </w:t>
      </w:r>
      <w:r>
        <w:t>https://mcp.opencaselaw.ch/entscheid/ge_gerichte_ATAS_560_2022</w:t>
      </w:r>
    </w:p>
    <w:p>
      <w:r>
        <w:t>FR: GE_GERICHTE ATAS/560/2022 du 9 juin 2022</w:t>
      </w:r>
    </w:p>
    <w:p>
      <w:r>
        <w:t>IT: GE_GERICHTE ATAS/560/2022 del 9 giugno 2022</w:t>
      </w:r>
    </w:p>
    <w:p>
      <w:pPr>
        <w:pStyle w:val="Heading2"/>
      </w:pPr>
      <w:r>
        <w:t>Erwägungen</w:t>
      </w:r>
    </w:p>
    <w:p>
      <w:r>
        <w:rPr>
          <w:b/>
        </w:rPr>
        <w:t>E. 31</w:t>
      </w:r>
    </w:p>
    <w:p>
      <w:r>
        <w:t>janvier 2021. L’OAI a considéré que si l’assuré avait été dans l’incapacité totale de travailler à compter du 9 février 2019, il avait recouvré, dans un poste adapté à son état de santé, une pleine capacité de travail depuis le 16 octobre 2020. Comparant dès lors le revenu avant invalidité (CHF 95'537.-) à celui exigible de l’intéressé depuis l’amélioration de son état de santé (CHF 61’503-), l’OAI a fixé le degré d’invalidité à 36% et mis fin au versement de la rente avec effet trois mois plus tard, soit le 31 janvier 2021, d’autant qu’à compter de décembre 2020, l’assuré avait recouvré une pleine capacité de travail à son poste habituel. b. Par écriture du 22 juillet 2021, l’assuré a interjeté recours contre cette décision. En substance, il demande à pouvoir reprendre son activité habituelle à 50% et à être mis au bénéfice d’une demi-rente d’invalidité pour le surplus. À l’appui de son recours, l’assuré produit un bref certificat médical rédigé le 19 octobre 2020 par la Dresse E______, attestant qu’il est autorisé à reprendre le travail à 30% dès le 1er novembre 2020 et qu’il existe une limitation de port de charges, ainsi qu’un second certificat médical du même médecin pour un arrêt de travail à 50% du 3 au 31 mai 2021 inclus, sans autre précision. c. Invité à se déterminer, l’intimé, dans sa réponse du 9 août 2021, a conclu au rejet du recours. L’intimé rappelle que le juge ne peut se fonder simplement sur le travail que l’assuré s’estime lui-même capable de fournir et que l’intéressé est tenu de donner la priorité à une activité lucrative adéquate lui permettant de valoriser au maximum sa capacité de travail résiduelle. En l’occurrence, l’assuré a été suivi par le service de réadaptation, du rapport duquel il ressort qu’il ne présente pas d’aptitude subjective à la mise en place de mesures professionnelles (rapport du 4 février 2021). d. Par écriture du 3 septembre 2021, le recourant a persisté dans ses conclusions en reprenant les arguments déjà développés. Il répète que son but est de reprendre son ancien poste à 50%. Pour le surplus, il admet avoir été « un peu réticent à l’idée de faire une réadaptation », mais affirme qu’il l’aurait tout de même acceptée.</w:t>
      </w:r>
    </w:p>
    <w:p>
      <w:r>
        <w:t>A/2500/2021 - 6/12 - e. Une audience de comparution personnelle s’est tenue en date du 11 novembre 2021. Le recourant a allégué avoir été réticent, mais pas totalement opposé à une réadaptation. Il a expliqué qu’il souhaitait absolument reprendre son ancien poste, d'abord à temps partiel, puis à un taux plus élevé. Il a allégué que les médecins des HUG étaient revenus par la suite sur leur évaluation de sa capacité de travail. L’intimé a expliqué pour sa part avoir tenu compte de l'atteinte cardiologique, qui a justifié une totale incapacité dans toute activité durant un temps limité. Il a souligné n’avoir aucun moyen d’obliger l’employeur à reprendre l’assuré à son ancien poste. Bien que le degré d'invalidité dépasse 20%, un reclassement n’a pas été envisagé au vu du large éventail d'activités disponibles. Quant à l'aide au placement, l’assuré en bénéficie déjà par le biais de l'assurance-chômage.</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Toutefois, dans la mesure où le recours était alors déjà pendant devant la Cour de céans, il reste soumis à l'ancien droit (cf. art. 82a LPGA). 4. Le délai de recours est de trente jours (art. 56 LPGA ; art. 62 al. 1 de la de loi sur la procédure administrative du 12 septembre 1985 [LPA - E 5 10]). Interjeté dans la forme et le délai prévus par la loi, le recours est recevable. 5. Le litige porte sur le droit aux prestations du recourant au-delà du 31 janvier 2021.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w:t>
      </w:r>
    </w:p>
    <w:p>
      <w:r>
        <w:t>A/2500/2021 - 7/12 -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w:t>
      </w:r>
    </w:p>
    <w:p>
      <w:r>
        <w:t>A/2500/2021 - 8/12 - encore, raisonnablement, exiger de l’assuré (ATF 125 V 256 consid. 4 et les références) 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12.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13.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w:t>
      </w:r>
    </w:p>
    <w:p>
      <w:r>
        <w:t>A/2500/2021 - 9/12 -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15. En l’espèce, le recourant conclut à l’octroi d’une demi-rente. Cela étant, il ne conteste pas les conclusions unanimes des différents médecins s’étant exprimés qui, tous, lui reconnaissent désormais une pleine capacité de travail dans une activité adaptée. Aucun document médical versé au dossier ne permet d’ailleurs d’en douter. Le recourant fait valoir qu’il aurait préféré être réintégré dans son ancien poste, cas échéant à temps partiel. C’est le lieu de rappeler l'obligation qui incombe à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le surplus, on notera que ni l’OAI, ni la Cour de céans</w:t>
      </w:r>
    </w:p>
    <w:p>
      <w:r>
        <w:t>A/2500/2021 - 10/12 - ne sont compétents pour obliger l’employeur à réintégrer l’assuré à son ancien poste. Dans la mesure où il n’est ni contesté, ni contestable que l’assuré a recouvré, dès octobre 2020, une pleine capacité à exercer une activité adaptée, c'est-à-dire sédentaire et n’impliquant pas de port de charges, c’est à juste titre que l’intimé a procédé à une comparaison des gains en se basant sur le revenu qu’aurait pu réaliser l’assuré en exerçant un tel poste selon les statistiques. Le calcul auquel s’est livré l’intimé à cet égard n’apparaît pas critiquable, étant rappelé qu’il a au surplus appliqué une réduction de 10% au revenu après invalidité. Le degré d’invalidité de 36% ainsi obtenu n’est pas suffisant pour ouvrir droit à une rente, de sorte que c’est à juste titre que l’intimé a mis fin au versement de celle-ci trois mois après l’amélioration constatée. Le recourant ne peut dès lors prétendre à l’octroi d’une demi-rente, ni même d’un quart de rente au-delà du 31 janvier 2021. Ce degré d’invalidité est en revanche suffisant pour ouvrir droit à d’éventuelles mesures de réadaptation, sous forme d’orientation professionnelle ou de reclassement, par exemple. Cependant, selon le rapport du Dr H______, il apparaît qu’à compter de décembre 2020, l’assuré a également recouvré une pleine capacité à exercer son activité habituelle, réduisant ainsi le degré d’invalidité à 0% et excluant tout droit à une mesure de réadaptation professionnelle. Le recourant s’insurge de ce que le médecin ait « osé » se prononcer sur sa capacité de travail, arguant qu’il n’avait pas à le faire. C’est oublier que c’est précisément la tâche du médecin que de se prononcer sur ce point. La position du recourant apparaît d’ailleurs pour le moins incohérente, puisqu’il confirme ne rencontrer aucune limitation fonctionnelle autre que la limitation du port de charges, dont il a lui-même insisté pour expliquer que cela n’était pas requis dans l’exercice de son activité. Certes, le Dr H______ a par la suite émis un certificat rigoureusement identique au précédent (hormis qu’il ne se prononçait plus sur la capacité de son patient à exercer son activité habituelle). Il l’a toutefois fait sans aucune justification – vraisemblablement à la demande de l’intéressé – et il en ressort toujours que celui-ci ne rencontre que de minimes limitations fonctionnelles, ce dont on peut légitimement conclure que sa capacité à exercer son activité habituelle est totalement préservée. Comme déjà précédemment souligné, peu importe ce que le recourant estime être ou non capable de faire et le taux qu’il souhaite occuper. Seules importent à cet égard les constatations médicales, les limitations fonctionnelles définies par les spécialistes et leur incidence sur la capacité de l’intéressé à exercer telle ou telle activité. En l’occurrence, à la lecture du rapport du Dr H______, on retiendra que le recourant, au bénéfice de chaussures montantes, marche quasiment sans boiterie et sans limitation de périmètre, qu’il peut se baisser, monter et descendre des escaliers, que la station debout prolongée, la marche en terrain irrégulier, le travail en</w:t>
      </w:r>
    </w:p>
    <w:p>
      <w:r>
        <w:t>A/2500/2021 - 11/12 - hauteur, les positions accroupie et agenouillée sont possibles pour lui et qu’il ne souffre que de séquelles mineures liées au syndrome des loges, de sorte que rien ne s’oppose à ce qu’il exerce son activité habituelle à plein temps. Dès lors, des mesures de réadaptations professionnelles n’entrent pas en ligne de compte. Au vu de ce qui précède, le recours est rejeté et le recourant condamné au paiement d'un émolument de CHF 200.- (art. 69 al.1bis LAI).</w:t>
      </w:r>
    </w:p>
    <w:p>
      <w:r>
        <w:t>* * * * *</w:t>
      </w:r>
    </w:p>
    <w:p>
      <w:r>
        <w:t>A/2500/2021 - 12/12 -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