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ATAS/560/2019 vom 20. Juni 2019</w:t>
      </w:r>
    </w:p>
    <w:p>
      <w:r>
        <w:t>GE Cour de justice, 2019-06-20, FR</w:t>
      </w:r>
    </w:p>
    <w:p>
      <w:r>
        <w:rPr>
          <w:b/>
        </w:rPr>
        <w:t xml:space="preserve">Quelle: </w:t>
      </w:r>
      <w:r>
        <w:t>https://mcp.opencaselaw.ch/entscheid/ge_gerichte_ATAS_560_2019</w:t>
      </w:r>
    </w:p>
    <w:p>
      <w:r>
        <w:t>FR: GE_GERICHTE ATAS/560/2019 du 20 juin 2019</w:t>
      </w:r>
    </w:p>
    <w:p>
      <w:r>
        <w:t>IT: GE_GERICHTE ATAS/560/2019 del 20 giugno 2019</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A/453/2019 - 6/12 -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21 jours, du versement de l’indemnité au recourant, auquel l’OCE reproche de n’avoir pas donné suite, dans le délai qui lui avait été imparti pour ce faire, à l’assignation de poste du 6 juillet 2018.</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w:t>
      </w:r>
    </w:p>
    <w:p>
      <w:r>
        <w:t>A/453/2019 - 7/12 -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w:t>
      </w:r>
    </w:p>
    <w:p>
      <w:r>
        <w:t>A/453/2019 - 8/12 -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t>A/453/2019 - 9/12 -</w:t>
      </w:r>
    </w:p>
    <w:p>
      <w:r>
        <w:rPr>
          <w:b/>
        </w:rPr>
        <w:t>E. 5</w:t>
      </w:r>
    </w:p>
    <w:p>
      <w:r>
        <w:t>En l’espèce, le recourant explique avoir compris qu’il devait expressément effectuer sa postulation au moyen d’un dossier mis à jour avec l’aide de son formateur, lequel n’a pu - contrairement à ce qu’il lui avait pourtant promis - le lui délivrer en temps utile. Cette version des faits a été corroborée par l’instruction : le formateur a confirmé que le dossier jusqu’alors utilisé par le recourant - au demeurant décrit comme volontaire et motivé - était « inutilisable », ce qu’il a vraisemblablement eu l’occasion de lui dire lors de la formation, confortant ainsi le recourant dans l’idée qu’il ne pouvait plus l’utiliser. Il a également corroboré qu’au terme de la formation - date coïncidant avec l’échéance du délai d’assignation - le recourant aurait dû se voir remettre deux dossiers complets correspondant à ses cibles professionnelles. Seul le dossier relatif à un poste dans la restauration lui a cependant été délivré en temps utile et ce, alors que le formateur a admis avoir assuré au recourant qu’il ferait son possible pour le lui rédiger dans les temps. Enfin, le formateur a également reconnu avoir affirmé à l’assuré qu’il avertirait sa conseillère et que celle-ci était au courant qu’il ne pouvait se débrouiller seul. Dans ces circonstances, on ne saurait reprocher au recourant d’avoir renoncé à postuler au moyen de son ancien dossier - qualifié d’inutilisable. La postulation devant se faire par écrit, il ne lui était pas loisible non plus de procéder comme il en avait l’habitude, c’est-à-dire en se présentant personnellement. Si les objectifs fixés à son formateur avaient été remplis par ce dernier, le recourant aurait dû se trouver en possession, le 6 juillet, d’un dossier complet qu’il aurait pu utiliser. Tel n’a pas été le cas, pour des raisons indépendantes de sa volonté. Tout au plus peut-on lui reprocher de n’avoir pas, en ce cas, pris contact personnellement avec sa conseillère avant l’échéance du délai pour l’informer de la situation et obtenir, cas échéant, une dispense d’agir. Ne pas donner suite à une assignation à postuler pour un emploi à repourvoir représente en effet une violation de l’obligation de diminuer le dommage;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w:t>
      </w:r>
    </w:p>
    <w:p>
      <w:r>
        <w:t>A/453/2019 - 10/12 - Eu égard à ce qui précède, une suspension du droit à l’indemnité de chômage devait être prononcée à l’encontre du recourant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w:t>
      </w:r>
    </w:p>
    <w:p>
      <w:r>
        <w:rPr>
          <w:b/>
        </w:rPr>
        <w:t>E. 7</w:t>
      </w:r>
    </w:p>
    <w:p>
      <w:r>
        <w:t>En l’espèce, dans l’appréciation de la gravité de sa faute, il y a lieu de tenir compte de l'ensemble des circonstances et des différents éléments recueillis lors de l'instruction. Le point de savoir si l'assuré n'a pas observé les prescriptions de contrôle du chômage ou les instructions de l'autorité compétente, doit être examiné au regard de la règle du degré de vraisemblance prépondérante, généralement appliquée dans le domaine des assurances sociales (DTA 1982 no 5 p. 41, consid. 2b ;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w:t>
      </w:r>
    </w:p>
    <w:p>
      <w:r>
        <w:t>A/453/2019 - 11/12 - Aussi n'existe-t-il pas, en droit des assurances sociales, un principe selon lequel l'administration ou le juge devrait statuer, dans le doute, en faveur de l'assuré (ATF 126 V 319 consid. 5a p. 322). En l'occurrence, il a été établi que si le recourant - dont il faut rappeler que c’est là le premier manquement en quatre délais-cadre - a péché, c’est par excès de confiance en son formateur, à l’aide duquel sa conseillère lui avait recommandé de faire appel.</w:t>
      </w:r>
    </w:p>
    <w:p>
      <w:r>
        <w:t>Le recourant n'a jamais varié dans ses déclarations, lesquelles ont été corroborées par le formateur et sa conseillère.</w:t>
      </w:r>
    </w:p>
    <w:p>
      <w:r>
        <w:t>Certes, comme cela a été relevé plus haut, le recourant aurait dû informer personnellement sa conseillère de la situation. C’est en effet à elle qu’il revenait de décider, soit de le dispenser d’agir, soit de postuler au moyen de son ancien dossier - qualifié d’absolument inutilisable et écarté comme tel par le formateur.</w:t>
      </w:r>
    </w:p>
    <w:p>
      <w:r>
        <w:t>Il apparaît en revanche établi au degré de la vraisemblance prépondérante que le recourant a fait preuve de bonne foi et de motivation et qu’il s’est reposé - à tort - sur les promesses de son formateur. Dans ces conditions, la faute commise ne saurait être pleinement assimilé à un refus opposé d’emblée de se porter candidat au poste considéré.</w:t>
      </w:r>
    </w:p>
    <w:p>
      <w:r>
        <w:t>L’intimé a fixé à 21 jours la quotité de la sanction - tenant compte du fait qu’il s’agissait d’un premier manquement et que le recourant réalisait un gain intermédiaire. Cela paraît en l'occurrence excessif au vu des circonstances particulières qui viennent d'être décrites - ce dont l’intimé a d’ailleurs convenu au terme des enquêtes. La Cour de céans, pour les motifs précités, considère qu’en l’espèce la faute peut être qualifiée de légère. S’y ajoutent le fait qu’il s’agit du premier manquement de l’assuré - inscrit de longue date à l’assurance-chômage - et que l’intéressé réalise un gain intermédiaire. La durée de la suspension est ramenée à huit jours. Admettant ainsi partiellement le recours, la Cour réforme la décision attaquée dans le sens précité. La procédure est gratuite (art. 61 let. a LPGA).</w:t>
      </w:r>
    </w:p>
    <w:p>
      <w:r>
        <w:t>A/453/2019 - 12/12 -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