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ATAS/560/2016 vom 6. Juli 2016</w:t>
      </w:r>
    </w:p>
    <w:p>
      <w:r>
        <w:t>GE Cour de justice, 2016-07-06, FR</w:t>
      </w:r>
    </w:p>
    <w:p>
      <w:r>
        <w:rPr>
          <w:b/>
        </w:rPr>
        <w:t xml:space="preserve">Quelle: </w:t>
      </w:r>
      <w:r>
        <w:t>https://mcp.opencaselaw.ch/entscheid/ge_gerichte_ATAS_560_2016</w:t>
      </w:r>
    </w:p>
    <w:p>
      <w:r>
        <w:t>FR: GE_GERICHTE ATAS/560/2016 du 6 juillet 2016</w:t>
      </w:r>
    </w:p>
    <w:p>
      <w:r>
        <w:t>IT: GE_GERICHTE ATAS/560/2016 del 6 luglio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et transmis la cause à la chambre de céans pour exécution dudit partage. Les dates pertinentes sont, d’une part, celle du mariage, le 10 juillet 2000, d’autre part le 4 février 2014, date à laquelle le divorce est devenu exécutoire. La chambre de céans rappelle qu’elle est compétente uniquement pour exécuter le partage des prestations de prévoyance des demandeurs. Les prétentions de la</w:t>
      </w:r>
    </w:p>
    <w:p>
      <w:r>
        <w:t>A/3307/2015 6/8 demanderesse se rapportant à l’entretien de l’enfant du couple et d’une éventuelle demande de prestations AI sont irrecevables.</w:t>
      </w:r>
    </w:p>
    <w:p>
      <w:r>
        <w:rPr>
          <w:b/>
        </w:rPr>
        <w:t>E. 5</w:t>
      </w:r>
    </w:p>
    <w:p>
      <w:r>
        <w:t>Selon les documents produits, la prestation de libre passage du demandeur au moment du divorce, soit le 4 février 2014, s’élevait à CHF 137'598.95. Au moment du mariage, le demandeur disposait d’une prestation de libre passage de CHF 92'869.20, soit CHF 130'910.50 intérêts compris au moment du divorce. Le demandeur avait par ailleurs retiré un montant de CHF 141'747.50 le 1er février 2003 pour l’acquisition de la maison de Jussy (GE). A cet égard, il convient de rappeler que le partage des prestations de sortie en cas de divorce porte sur toutes les prétentions issues de rapports de prévoyance soumis à la LFLP, ce qui comprend tant les avoirs de la prévoyance obligatoire - qu'il désigne par "fonds LPP" - que ceux de la prévoyance surobligatoire, ainsi que les prestations de prévoyance maintenues au moyen d'une police de libre passage ou d'un compte de libre passage ("avoirs de libre passage" [art. 22 al. 2 LFLP]) au sens de l'art. 10 OLP, soit l'ensemble des prétentions issues des piliers 2a et 2b (ATF 130 V 111 consid. 3.2.2 p. 114 et les références). En font donc aussi partie les avoirs de la prévoyance professionnelle obligatoire et plus étendue (ou surobligatoire) ou les "avoirs de libre passage" utilisés pour acquérir un logement à titre d'encouragement à l'accession de la propriété aux conditions prévues par les art. 30c ss LPP et l'ordonnance, du 3 octobre 1994, sur l'encouragement à la propriété du logement au moyen de la prévoyance professionnelle (OEPL; RS 831.411). En effet, les moyens utilisés pour acquérir un logement aux conditions des art. 30c ss LPP demeurent liés à un but de prévoyance (ATF 132 V 332 consid. 4.1 p. 333; 128 V 230 consid. 2c p. 234 et la référence), même si le versement anticipé et le logement au financement duquel il a servi sortent des avoirs de prévoyance (ATF 132 V 332 consid. 4.1 p. 333 avec référence à l'ATF 124 III 211 consid. 2 p. 214 s.). En cas de divorce, et si aucun cas de prévoyance n'est encore survenu pour le preneur d'assurance, ces fonds liés investis dans le logement doivent être partagés selon les art. 122 et 123 CC (art. 30c al. 6 LPP, art. 331e al. 6 CO; ATF 128 V 230 consid. 2c p. 234 et la référence). Toutefois, seuls sont pris en considération les montants qui font l'objet, au moment du divorce, d'une obligation de remboursement au sens de l'art. 30d LPP (ATF 132 V 347 consid. 3.3 p. 350 s.; voir aussi ATF 128 V 230 consid. 3b et 3c p. 235 et les références). En cas de vente du logement, l’obligation de rembourser se limite au produit réalisé. Par produit, on entend le prix de vente, déduction faite des dettes hypothécaires et des charges légales supportées par le vendeur (cf. art. 30d al. 5 LPP). En l’espèce, selon le chiffre 9 du dispositif du jugement du 17 décembre 2013 – entré en force - le juge du divorce a expressément exclu la prise en considération de la somme de CHF 147'747.50 (recte : CHF 141'747.50) versée de manière anticipée le 1er février 2003. Il ressort en effet des considérants du jugement de divorce que le demandeur n’est plus propriétaire de sa part de copropriété sur l’immeuble acquis et qu’il n’a absolument rien retiré de l’exécution forcée de ladite part pendant le</w:t>
      </w:r>
    </w:p>
    <w:p>
      <w:r>
        <w:t>A/3307/2015 7/8 mariage. Ce montant étant irrémédiablement perdu, il n’y avait pas lieu de le réintégrer dans les avoirs de prévoyance du demandeur (cf. ATF 135 V 324, consid. 5.1). Par conséquent, la prestation de sortie acquise pendant le mariage par le demandeur s’élève à CHF 14'556.40 (CHF 137’598.75 – CHF 130'910.50). Quant à celle acquise par la demanderesse, elle est de CHF 106'040.05, les intérêts ayant déjà été calculés par les institutions de prévoyance défenderesses. Le demandeur doit à son ex-épouse le montant de CHF 7'278.20 (CHF 14'556.40 : 2), et celle-ci lui doit le montant de CHF 53'020.- (CHF 106'040.05 : 2). En définitive, au vu de ce qui précède, la demanderesse doit au demandeur le montant de CHF 45'741.80.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A/3307/2015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