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ATAS/560/2010 vom 20. Mai 2010</w:t>
      </w:r>
    </w:p>
    <w:p>
      <w:r>
        <w:t>GE Cour de justice, 2010-05-20, FR</w:t>
      </w:r>
    </w:p>
    <w:p>
      <w:r>
        <w:rPr>
          <w:b/>
        </w:rPr>
        <w:t xml:space="preserve">Quelle: </w:t>
      </w:r>
      <w:r>
        <w:t>https://mcp.opencaselaw.ch/entscheid/ge_gerichte_ATAS_560_2010</w:t>
      </w:r>
    </w:p>
    <w:p>
      <w:r>
        <w:t>FR: GE_GERICHTE ATAS/560/2010 du 20 mai 2010</w:t>
      </w:r>
    </w:p>
    <w:p>
      <w:r>
        <w:t>IT: GE_GERICHTE ATAS/560/2010 del 20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1er février 2010, le recours contre la décision de l’OAI du 17 décembre 2009 intervient en temps utile, compte tenu de la suspension des délais entre le 18 décembre et le 2 janvier inclus (art. 38 al. 4 lit. c et art. 60 al. 1 LPGA). Les autres conditions prévues par les art. 56 et ss LPGA étant réalisées, le recours est recevable.</w:t>
      </w:r>
    </w:p>
    <w:p>
      <w:r>
        <w:rPr>
          <w:b/>
        </w:rPr>
        <w:t>E. 4</w:t>
      </w:r>
    </w:p>
    <w:p>
      <w:r>
        <w:t>Le litige porte sur le calcul du taux d’invalidité du recourant, dont découle d’éventuelles prestations d’invalidité, soit en l’espèce plus spécifiquement l’octroi d’une mesure d’ordre professionnelle et/ou une rente d’invalidité. Sont en</w:t>
      </w:r>
    </w:p>
    <w:p>
      <w:r>
        <w:t>A/356/2010 - 8/15 - particulier litigieux le taux de diminution de rendement, la quotité de réduction sur le salaire statistique et le revenu sans 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w:t>
      </w:r>
    </w:p>
    <w:p>
      <w:r>
        <w:t>A/356/2010 - 9/15 -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w:t>
      </w:r>
    </w:p>
    <w:p>
      <w:r>
        <w:rPr>
          <w:b/>
        </w:rPr>
        <w:t>E. 6</w:t>
      </w:r>
    </w:p>
    <w:p>
      <w:r>
        <w:t>S’agissant spécifiquement de l’abattement sur le salaire statistique, la jurisprudence a précisé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w:t>
      </w:r>
    </w:p>
    <w:p>
      <w:r>
        <w:t>A/356/2010 - 10/15 -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rPr>
          <w:b/>
        </w:rPr>
        <w:t>E. 8</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w:t>
      </w:r>
    </w:p>
    <w:p>
      <w:r>
        <w:t>A/356/2010 - 11/15 -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9</w:t>
      </w:r>
    </w:p>
    <w:p>
      <w:r>
        <w:t>En l’espèce, il convient en premier lieu de nier toute valeur probante à l’avis de la Dresse L__________ laquelle atteste dans son avis du 31 mai 2006 d’une incapacité de travail complète dans toute activité. La Dresse L__________ est le médecin généraliste traitant, et son avis qui n’est à aucun moment expliqué est contradictoire avec les avis concordants sur de nombreux points comme on le verra ci-après du Dr P__________ et du Dr R_________. En particulier, la Dresse L__________ retient pas moins de 16 diagnostics sans expliquer lesquels ont une répercussion sur la capacité de travail, avant de retenir la totalité des limitations fonctionnelles d’ordre physique sans plus d’explication. Au-delà de ce qui précède, le Tribunal s’interroge au sujet de la crédibilité à accorder à un médecin qui semble perdre des rapports médicaux, fournit le nom d’un médecin psychiatre qui ne suit pas le recourant, ne garde pas traces de ses prescriptions et dont le traitement et les conseils sont remis en cause par l’expert, le Dr P__________.</w:t>
      </w:r>
    </w:p>
    <w:p>
      <w:r>
        <w:t>A/356/2010 - 12/15 - Pour le surplus, les parties ne s’accordent pas sur le point de savoir s’il convient de retenir l’avis du Dr P__________, expert en médecine interne mandaté par l’OAI, ou bien celui du Dr R_________, médecin du SMR et chirurgien orthopédiste FMH. L’OAI reproche au Dr P__________ qu’elle a elle-même mis en œuvre de ne pas être spécialiste en orthopédie et le fait que différents éléments médicaux, notamment les apnées du sommeil, sont restés non investigués. Quant au recourant, il reproche notamment au Dr R_________ d’avoir considéré à tort que la diminution de rendement retenue par le Dr P__________ était liée aux apnées du sommeil. L’on peut de surcroît se demander quelle valeur probante peut être accordée à l’avis du Dr R_________ qui ne mentionne pas les plaintes du recourant et ne motive pas clairement sa divergence de point de vue avec le Dr P__________ Certes le Dr P__________ n’est pas spécialiste en orthopédie. Le Tribunal observe toutefois que les diagnostics retenus tant par le Dr P__________ que par le Dr R_________ ne se limitent pas à des problèmes orthopédiques. Quant aux éléments non investigués, le Tribunal relève que le Dr P__________ a tenu compte de l’avis du Laboratoire du sommeil des HUG du 27 février 2008. Il n’est toutefois pas indispensable de retenir l’un ou l’autre avis de manière définitive à ce stade. En effet, ces deux médecins sont sensiblement du même avis tant sur les diagnostics, que sur les limitations fonctionnelles et sur la capacité de travail tant dans l’activité habituelle que dans une activité adaptée. Leur divergence d’opinion a principalement trait à la diminution de rendement dont il convient de tenir compte. Or, le Tribunal est d’avis que la réponse au sujet de la quotité de la diminution de rendement n’est pas uniquement d’ordre médical. A ce stade, il est indispensable de compléter les renseignements médicaux par des renseignements d’ordre professionnels, ce que l’OAI a négligé. Il est ainsi indispensable de mettre sur pied une observation professionnelle afin de déterminer en étroite collaboration avec les médecins la quotité exacte de la diminution de rendement, d’examiner quelles sont les activités professionnelles concrètes entrant en considération sur la base des renseignements médicaux et compte tenu des aptitudes résiduelles de l'assuré et d’indiquer si un reclassement ou une autre mesure d’ordre professionnel est de nature à maintenir ou améliorer la capacité de gain.</w:t>
      </w:r>
    </w:p>
    <w:p>
      <w:r>
        <w:t>A/356/2010 - 13/15 -</w:t>
      </w:r>
    </w:p>
    <w:p>
      <w:r>
        <w:rPr>
          <w:b/>
        </w:rPr>
        <w:t>E. 10</w:t>
      </w:r>
    </w:p>
    <w:p>
      <w:r>
        <w:t>S’agissant de la réduction complémentaire sur le salaire statistique, comme on l’a vu plus haut, l’OAI dispose d’un large pouvoir d’appréciation et le juge doit faire preuve de retenue lorsqu’il est amené à vérifier le bien-fondé de dite appréciation. Le recourant critique l’appréciation de l’OAI qui n’a pas tenu compte de la nécessité de travailler à temps partiel, l’âge, la longue absence sur le marché du travail et l’inexpérience dans un travail nouveau. Il faut constater en premier lieu qu’au vu des avis tant du Dr R_________ que du Dr P__________, le recourant est capable de travailler à plein temps dans une activité adaptée. Ceci dit, le Tribunal constate que l’OAI a omis de motiver son point de vue au sujet de la réduction opérée sur le salaire statistique, ce qui rend particulièrement difficile tout contrôle de l’appréciation qu’il a faite. Au vu des différentes circonstances du cas d’espèce, la réduction opérée semble par trop limitée. Compte tenu de l’instruction qui doit être complétée par des mesures d’ordres médicales, et de la nécessité de respecter l’appréciation de l’OAI, le Tribunal renoncera à ce stade à se prononcer de manière plus concrète sur ce point, l’OAI étant invité à motiver clairement et de manière circonstanciée son avis, étant relevé qu’il s’agit d’une exigence importante relevant du droit d’être entendu. Une telle motivation se justifiait d’autant plus que le recourant avait expressément critiqué l’appréciation correspondante de l’OAI dans son opposition.</w:t>
      </w:r>
    </w:p>
    <w:p>
      <w:r>
        <w:rPr>
          <w:b/>
        </w:rPr>
        <w:t>E. 11</w:t>
      </w:r>
    </w:p>
    <w:p>
      <w:r>
        <w:t>S’agissant enfin de la question du revenu sans invalidité, les deux parties tiennent compte des éléments communiqués par un employeur. L’OAI se fonde sur une fiche de salaire correspondant à seulement deux semaines d’activité annualisées par une multiplication par 12, ce qui détermine un revenu sans invalidité de 52'587 fr. De son côté, le recourant fait une extrapolation sur l’année du revenu horaire communiqué pour parvenir à un revenu sans invalidité de 63'231 fr. Or, ladite activité n’était exercée qu’une fois par année à l’occasion du « Salon de l’Auto ». Il ne s’agit ainsi pas d’un revenu suffisamment fiable pour être pris en compte. Quant à la moyenne des revenus ressortant du compte individuel du recourant, ce dernier observe à juste titre qu’il comprend des périodes sans activités. L’on ignore par ailleurs si les périodes d’activités l’ont toutes été à temps complet.</w:t>
      </w:r>
    </w:p>
    <w:p>
      <w:r>
        <w:t>A/356/2010 - 14/15 - Ainsi, comme indiqué plus haut, en l’absence d'un revenu effectivement réalisé, il y a lieu de se référer aux données statistiques, telles qu'elles résultent des enquêtes sur la structure des salaires de l'Office fédéral de la statistique (ATF 126 V 76 consid. 3b/aa et bb).</w:t>
      </w:r>
    </w:p>
    <w:p>
      <w:r>
        <w:rPr>
          <w:b/>
        </w:rPr>
        <w:t>E. 12</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Comme on l’a vu, l’instruction du dossier n’est pas suffisante pour ce prononcer puisqu’il y a lieu de la compléter par une observation professionnelle. Par ailleurs, sa décision n’est pas motivée au sujet de la réduction sur le salaire statistique. Enfin, un renvoi à l’administration a l’avantage de ne pas priver le recourant d’un degré de procédure. Il convient ainsi de renvoyer le dossier à l’OAI pour instruction complémentaire au sens des considérants et nouvelle décision dument motivée.</w:t>
      </w:r>
    </w:p>
    <w:p>
      <w:r>
        <w:rPr>
          <w:b/>
        </w:rPr>
        <w:t>E. 13</w:t>
      </w:r>
    </w:p>
    <w:p>
      <w:r>
        <w:t>Le recours sera ainsi partiellement admis.</w:t>
      </w:r>
    </w:p>
    <w:p>
      <w:r>
        <w:rPr>
          <w:b/>
        </w:rPr>
        <w:t>E. 14</w:t>
      </w:r>
    </w:p>
    <w:p>
      <w:r>
        <w:t>Le recourant obtenant partiellement gain de cause, une indemnité de 1'500 fr. lui est octroyée, à titre de dépens.</w:t>
      </w:r>
    </w:p>
    <w:p>
      <w:r>
        <w:rPr>
          <w:b/>
        </w:rPr>
        <w:t>E. 15</w:t>
      </w:r>
    </w:p>
    <w:p>
      <w:r>
        <w:t>Un émolument de 500 fr. est mis à charge de l’intimé qui succombe (art. 69 al. 1bis LAI)</w:t>
      </w:r>
    </w:p>
    <w:p>
      <w:r>
        <w:t>A/356/2010 - 15/15 -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