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ATAS/55/2018 vom 23. Januar 2018</w:t>
      </w:r>
    </w:p>
    <w:p>
      <w:r>
        <w:t>GE Cour de justice, 2018-01-23, FR</w:t>
      </w:r>
    </w:p>
    <w:p>
      <w:r>
        <w:rPr>
          <w:b/>
        </w:rPr>
        <w:t xml:space="preserve">Quelle: </w:t>
      </w:r>
      <w:r>
        <w:t>https://mcp.opencaselaw.ch/entscheid/ge_gerichte_ATAS_55_2018</w:t>
      </w:r>
    </w:p>
    <w:p>
      <w:r>
        <w:t>FR: GE_GERICHTE ATAS/55/2018 du 23 janvier 2018</w:t>
      </w:r>
    </w:p>
    <w:p>
      <w:r>
        <w:t>IT: GE_GERICHTE ATAS/55/2018 del 23 gennaio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l’assurée à des indemnités de l’assurance-chômage du 1er décembre 2015 à octobre 2016, et le cas échéant, sur celui de la caisse de lui réclamer le remboursement de la somme de CHF 48'067.80, représentant les prestations versées à tort.</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w:t>
      </w:r>
    </w:p>
    <w:p>
      <w:r>
        <w:t>A/3479/2017 - 6/14 -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1er LPGA ne trouve pas application en matière d’assurance-chômage (arrêt du Tribunal fédéral 8C_270/2007 du</w:t>
      </w:r>
    </w:p>
    <w:p>
      <w:r>
        <w:rPr>
          <w:b/>
        </w:rPr>
        <w:t>E. 7</w:t>
      </w:r>
    </w:p>
    <w:p>
      <w:r>
        <w:t>a. Force est de constater que l’intéressée se contredit à plusieurs reprises lorsqu’elle est entendue par la chambre de céans, le 14 novembre 2017. Elle affirme ainsi que les indications figurant sur le registre de l’OCP sont conformes à la réalité, puis reconnaît que tel n’est pas le cas. Elle a en effet négligé d’annoncer son changement d’adresse à la rue Le-Corbusier en mars 2016, ne mentionnant du reste ce déménagement que lorsqu’elle forme opposition le 19 décembre 2016.</w:t>
      </w:r>
    </w:p>
    <w:p>
      <w:r>
        <w:t>A/3479/2017 - 9/14 - Alors qu’elle a annoncé à l’OCP être domiciliée au ______, chemin des D______dès le 1er janvier 2015, elle précise, lors de sa comparution personnelle du 14 novembre 2017, qu’en réalité elle s’y est installée dès mars 2014. Dans un premier temps, elle déclare à la chambre de céans qu’elle a emménagé à la rue E______ en même temps que son fils, soit en novembre 2015, pour indiquer ensuite qu’elle est restée seule au ______, chemin des D______durant le délai de congé. Lorsqu’elle confirme que son fils cadet F______ est venu vivre au ______, rue E______, dès novembre 2015, elle précise qu’« il s’est installé avec nous » (cf. PV du 14 novembre 2017). b. Interrogée à propos de ses extraits bancaires, l’intéressée reconnaît assumer des frais d’essence et de parking, bien qu’elle ne possède pas de véhicule, expliquant qu’elle emprunte la voiture de son fils pour se rendre à l’école dont elle suit les cours à la rue Sainte Clothilde, pendant que son fils se déplace en bus ou à pied pour aller travailler à Rive. Ces allégations sont peu crédibles, ce d’autant moins qu’elle s’acquitte également des frais relatifs à la plaque d’immatriculation auprès de l’office cantonal des véhicules. Il est également surprenant qu’elle tente de justifier ces frais en disant que « ma situation financière me le permettait ». c. L’intéressée déclare ne se rendre à l’appartement en France que le week-end, tout en précisant qu’« il m’arrivait d’y aller durant la semaine pour arroser les plantes. Je faisais l’aller-retour », et en reconnaissant qu’elle y avait passé la journée les deux jours où l’enquêteur y avait effectué des pointages. Il paraît curieux qu’elle se déplace jusqu’à Collonges-sous-Salève dans le seul but d’arroser des plantes, - alors qu’elle n’a pas de moyen de locomotion et qu’elle s’y rend quoi qu’il en soit tous les week-ends. Il paraît encore plus curieux qu’elle y soit restée toute la journée précisément les deux jours de pointage, et aucun autre, selon ses déclarations. d. On peine à admettre qu’elle verse à son fils un loyer de CHF 1'000.- (CHF 800.- dans un premier temps). Le principe est en effet peu usuel, ainsi que le souligne l’OCE, mais surtout, ce loyer s’ajoute à celui de CHF 850.- pour l’appartement en France, alors que sa situation financière est plutôt difficile. Elle ne fait du reste pas mention de ce loyer lors de son audition par l’inspecteur, et son paiement n’a par ailleurs pas été établi. Il ressort en revanche des extraits bancaires que son fils effectue en sa faveur quelques virements, dont elle dit qu’il s’agit de remboursements pour les frais du ménage qu’elle assume en faisant les courses. On comprend encore moins, dans ces circonstances, qu’un loyer de CHF 1'000.- ait été prévu. e. Enfin, le fait que l’intéressée et ses deux fils aient vécu durant plusieurs mois dans un 3 pièces, paraît plus qu’improbable.</w:t>
      </w:r>
    </w:p>
    <w:p>
      <w:r>
        <w:t>A/3479/2017 - 10/14 - Au vu de ce qui précède, la chambre de céans considère que les explications données par l’intéressée ne sont pas convaincantes et qu’il est au contraire vraisemblable, au degré requis par la jurisprudence, qu’elle réside effectivement, au sens de l’art. 8 al. 1 let. c LACI, en France à l’ouverture du délai-cadre, soit dès le 1er décembre 2015, à tout le moins. Partant, elle n’a pas droit aux prestations de l’assurance-chômage en Suisse en application de la législation interne.</w:t>
      </w:r>
    </w:p>
    <w:p>
      <w:r>
        <w:rPr>
          <w:b/>
        </w:rPr>
        <w:t>E. 8</w:t>
      </w:r>
    </w:p>
    <w:p>
      <w:r>
        <w:t>Reste à 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w:t>
      </w:r>
    </w:p>
    <w:p>
      <w:r>
        <w:t>A/3479/2017 - 11/14 -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w:t>
      </w:r>
    </w:p>
    <w:p>
      <w:r>
        <w:rPr>
          <w:b/>
        </w:rPr>
        <w:t>E. 12</w:t>
      </w:r>
    </w:p>
    <w:p>
      <w:r>
        <w:t>Il convient à ce stade de rappeler que la restitution ne peut être exigée lorsque l’intéressé était de bonne foi et qu’il le mettrait dans une situation difficile (art. 25 al. 1, 2ème phrase LPGA). Selon l’art. 4 al. 4 OPGA, la demande de remise doit être présentée par écrit. Elle doit être motivée, accompagnée des pièces nécessaires et déposée au plus tard trente jours à compter de l’entrée en force du présent jugement.</w:t>
      </w:r>
    </w:p>
    <w:p>
      <w:r>
        <w:rPr>
          <w:b/>
        </w:rPr>
        <w:t>E. 13</w:t>
      </w:r>
    </w:p>
    <w:p>
      <w:r>
        <w:t>Mal fondé, le recours est rejeté.</w:t>
      </w:r>
    </w:p>
    <w:p>
      <w:r>
        <w:t>A/3479/2017 - 14/14 -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