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ATAS/55/2016 vom 27. Januar 2016</w:t>
      </w:r>
    </w:p>
    <w:p>
      <w:r>
        <w:t>GE Cour de justice, 2016-01-27, FR</w:t>
      </w:r>
    </w:p>
    <w:p>
      <w:r>
        <w:rPr>
          <w:b/>
        </w:rPr>
        <w:t xml:space="preserve">Quelle: </w:t>
      </w:r>
      <w:r>
        <w:t>https://mcp.opencaselaw.ch/entscheid/ge_gerichte_ATAS_55_2016</w:t>
      </w:r>
    </w:p>
    <w:p>
      <w:r>
        <w:t>FR: GE_GERICHTE ATAS/55/2016 du 27 janvier 2016</w:t>
      </w:r>
    </w:p>
    <w:p>
      <w:r>
        <w:t>IT: GE_GERICHTE ATAS/55/2016 del 27 gennaio 2016</w:t>
      </w:r>
    </w:p>
    <w:p>
      <w:pPr>
        <w:pStyle w:val="Heading2"/>
      </w:pPr>
      <w:r>
        <w:t>Erwägungen</w:t>
      </w:r>
    </w:p>
    <w:p>
      <w:r>
        <w:rPr>
          <w:b/>
        </w:rPr>
        <w:t>E. 17</w:t>
      </w:r>
    </w:p>
    <w:p>
      <w:r>
        <w:t>Dans un courrier du 27 mai 2015, Madame H______ a rappelé que le recourant était suivi au sein du cabinet depuis le 16 avril 2013 et qu’il était apparu, au cours des séances qu’elle avait eues avec lui, qu’il souffrait d’un trouble panique sans agoraphobie, avec des symptômes tels que palpitations, douleurs thoraciques, sensations d’étouffement accompagnées d’une peur de perte de soi. Ces attaques de panique avaient également eu lieu en cours de séance et avaient dès lors été gérées in vivo. Ledit trouble panique était secondaire à une dysthymie, dont les plaintes étaient les suivantes : troubles du sommeil, fatigue récurrente, anhédonie, aboulimie</w:t>
      </w:r>
    </w:p>
    <w:p>
      <w:r>
        <w:t>A/184/2015 - 8/16 - et ruminations importantes ainsi que irritabilité et difficultés à faire face aux exigences du quotidien. Cette symptomatologie avait été observable et objectivable au cours des séances et variait en intensité en fonction des situations vécues. Des ressources limitées du patient pour élaborer des stratégies efficaces au long cours lui permettant de mieux gérer les situations anxiogènes étaient également mises en évidence. La psychologue précitée avait constaté une évolution lente mais positive, objectivée par la diminution des attaques de panique et par une légère augmentation des activités à domicile. En revanche, les ruminations étaient toujours présentes.</w:t>
      </w:r>
    </w:p>
    <w:p>
      <w:r>
        <w:rPr>
          <w:b/>
        </w:rPr>
        <w:t>E. 18</w:t>
      </w:r>
    </w:p>
    <w:p>
      <w:r>
        <w:t>Par écriture du 18 juin 2015, l’OAI a conclu au rejet du recours. En effet, le SMR après avoir pris connaissance du rapport de la psychologue du 27 mai 2015, a considéré que l’assuré ne présentait qu’une dysthymie ne pouvant pas influencer la capacité de travail et aucun signe de sévérité en ce qui concerne le syndrome anxieux. De plus, la dysthymie précitée confirmait le caractère réactionnel de la symptomatologie et une évolution lente mais positive.</w:t>
      </w:r>
    </w:p>
    <w:p>
      <w:r>
        <w:rPr>
          <w:b/>
        </w:rPr>
        <w:t>E. 19</w:t>
      </w:r>
    </w:p>
    <w:p>
      <w:r>
        <w:t>Après communication de cette écriture au recourant,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droit de l’assuré à une rente d’invalidité et, singulièrement, sur le caractère invalidant de ses atteintes psychiques.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A/184/2015 - 9/16 -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d. En ce qui concerne les facteurs psychosociaux ou socioculturels et leur rôle en matière d'invalidité, ils ne figurent pas au nombre des atteintes à la santé</w:t>
      </w:r>
    </w:p>
    <w:p>
      <w:r>
        <w:t>A/184/2015 - 10/16 -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A/184/2015 - 11/16 -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En l’espèce, l'OAI a mandaté le Dr I______ pour expertise. Se fondant sur son rapport du 31 juillet 2014, l’intimé a nié le droit du recourant à une rente</w:t>
      </w:r>
    </w:p>
    <w:p>
      <w:r>
        <w:t>A/184/2015 - 12/16 - d'invalidité. Il y a donc lieu d’examiner la valeur probante du rapport d’expertise précité. a. S’agissant de l’expertise précitée, force est de constater qu’elle comporte une anamnèse familiale, professionnelle et psychosociale détaillée, une description des plaintes subjectives de l'assuré et le compte-rendu des constatations cliniques. L’expert psychiatre a ensuite discuté le cas, tenu compte des plaintes exprimées par l’examiné et posé un diagnostic selon le Manuel diagnostic et statistique des troubles mentaux, 4e édition, texte révisé (DSM-IV-TR), édité par l'association des psychiatres américains (American psychiatric association), qui préconise l'évaluation multiaxiale. Ainsi, l’expertise du Dr I______ répond aux réquisits jurisprudentiels permettant de lui reconnaître une pleine valeur probante. Sur le fond, l’expert-psychiatre a mentionné, sur l'axe I, un trouble de l’adaptation avec humeur anxio-dépressive actuellement subclinique ainsi qu’un éventuel trouble panique subclinique à léger. Sur l'axe II, le médecin a signalé une personnalité à traits anxieux et passifs. Sur l'axe III, qui concerne la pathologie somatique, l'expert-psychiatre a renvoyé aux spécialistes compétents, et sur l'axe IV, il a fait état de difficultés socio-économiques ainsi qu’éventuellement d’autres difficultés. Tous les diagnostics des axes I et II étaient sans répercussion sur la capacité de travail. Le psychiatre a en outre relevé que l’assuré ne paraissait ni tendu ni anxieux et qu’il était surtout assez dramatique, plaintif, revenant sur « tout ce qui ne va pas » et voulant démontrer qu’il ne pouvait rien faire. Il y avait une importante discordance entre ses déclarations et les éléments objectifs, l’assuré pouvant se déplacer sans limitations, accompagnant son épouse dans les grands surfaces pour les commissions et prenant tous les jours l’ascenseur pour se rendre chez lui. Il n’y avait par conséquent pas d’élément en faveur d’une agoraphobie marquée ni d’attaques de panique. Manifestement, l’état de santé de l’assuré évoluait favorablement depuis le début de l’année 2013 et la prise de Fluoxétine et désormais de Citalopram. Il n’y avait pas de symptômes anxio-dépressifs au premier plan, ceux-ci ayant également répondu à l’introduction de l’antidépresseur. Le Dr I______ ne trouvait ni comborbidité psychiatrique ni trouble de la personnalité assimilable à une atteinte à la santé mentale. La Dresse G______ avait d’ailleurs mentionné une évolution lentement favorable. Pour le Dr I______, il s’agissait d’une problématique plus sociale que médicale (dépendance des services sociaux, appartement de 50 m2 pour quatre personnes, etc.). b. Pour sa part, le recourant conteste l’expertise réalisée par le Dr I______, considérant qu’elle manquait d’impartialité, les intentions de l’expert étant de discréditer ses dires, ses plaintes et sa souffrance. Il n’avait pas pu répondre aux tests psychométriques dans la totalité en raison de difficultés de compréhension de la langue. Ces tests avaient par la suite été interprétés en sa défaveur. Il avait également dû essuyer des remarques désobligeantes sur ses origines kosovares. Enfin, le Dr I______ avait déjà fait l’objet de dénonciations de la part de patients et de confrères pour son manque d’impartialité.</w:t>
      </w:r>
    </w:p>
    <w:p>
      <w:r>
        <w:t>A/184/2015 - 13/16 - b/aa. En premier lieu, le recourant reproche à l’expert d’être prévenu. Selon la jurisprudence rendue en matière de récusation d’un juge, respectivement d’un expert, ce dernier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le récuser. Il suffit que les circonstances donnent l'apparence de la prévention et fassent redouter une activité partiale. L'appréciation des circonstances ne peut pas reposer sur les seules impressions de l’assuré, la méfiance à l'égard de l'expert devant au contraire apparaître comme fondée sur des éléments objectifs. Seules des circonstances constatées objectivement doivent être prises en considération (ATF 125 V 351 consid. 3b/ee; ATF 123 V 176 consid. 3d et l'arrêt cité; VSI 2001 p. 109 consid. 3b/ee). En cette matière,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(ATF 132 V 93 consid. 6). Le motif de récusation doit être invoqué dès que possible, à défaut de quoi le plaideur est réputé avoir tacitement renoncé à s’en prévaloir (ATF 119 Ia 221 consid. 5a ; arrêt du Tribunal fédéral des assurances B 105/06 du 12 juin 2007, consid. 3). En particulier, il est contraire à la bonne foi d’attendre l’issue d’une procédure pour tirer ensuite argument, à l’occasion d’un recours, du motif de récusation alors que celui-ci était déjà connu auparavant (ATF 126 V 303 consid. 1b, publié in SVR 2001 BVG 7 p. 28 et les arrêts cités). En l’espèce, le recourant a fait valoir pour la première fois des arguments relatifs à la prévention de l’expert dans son opposition au projet de décision. Se pose dès lors la question de la tardiveté de ce grief. Ce grief est à l’évidence tardif dès lors que le recourant aurait dû agir immédiatement après avoir été examiné. Par ailleurs, la méfiance du recourant à l’égard de l’expert est fondée sur ses seules impressions et non sur des éléments objectifs, ce qui n’est pas suffisant pour justifier la récusation de l’expert. b/bb. En deuxième lieu, en se référant aux dénonciations de patients et de confrères, le recourant tente également de remettre en cause les compétences professionnelles de ce médecin. Or, il n'appartient pas à la chambre de céans de se prononcer sur l'aptitude professionnelle du psychiatre précité (arrêt du Tribunal fédéral I 702/02 consid. 3.2). Ce dernier, membre de la Fédération des médecins suisses (FMH) était, et est toujours, titulaire du titre de spécialiste FMH en psychiatrie et en</w:t>
      </w:r>
    </w:p>
    <w:p>
      <w:r>
        <w:t>A/184/2015 - 14/16 - psychothérapie. Dans ce contexte, force est de relever que le recourant n'allègue pas que le médecin aurait fait l'objet d'une procédure de retrait de l'autorisation de pratiquer (voir art. 79 de la loi vaudoise du 29 mai 1985 sur la santé publique [RSVD 5.01 A; LSP] et Règlement vaudois du 26 août 1987 sur la procédure en matière de retrait d'autorisation de pratiquer et de mesures disciplinaires prévues par la LSP [RSVD 5.01 O]). Le Dr I______ dispose partant des qualifications nécessaires pour pratiquer son art et effectuer des expertises médicales (art. 11 de la loi fédérale concernant l'exercice des professions de médecin, de pharmacien et de vétérinaire dans la Confédération suisse [RS 811.11]; art. 91 let. a et 94 LSP). b/cc En troisième lieu, le recourant conteste de manière générale les conclusions du Dr I______.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Or, dans le cas d’espèce, à l’exception de la langue, le recourant n’a pas mentionné de tels éléments, puisqu'il s’est limité, pour l'essentiel, à faire part de son désaccord avec l’appréciation du Dr I______. Certes, l’expertise contient des inexactitudes (enfants d’un premier lit de l’épouse de l’assuré, absence de permis). Cela étant, ces éléments ne sont pas pertinents du point de vue médical. Par ailleurs, force est de constater, s’agissant de la problématique de la langue, qu’il ne ressort à aucun moment du dossier que le recourant n’était pas en mesure de se faire comprendre ou de comprendre ses médecins. En effet, aucun document ne laisse penser que le concours d’un interprète, notamment lors des séances avec la Dresse G______ ou la psychologue H______ était nécessaire. A cela s’ajoute le fait que le recourant est en Suisse depuis 1991 de sorte qu’il devrait être en mesure de comprendre et de s’exprimer en français, ce qui a d’ailleurs été confirmé par le Dr I______. c. Reste à examiner si d'autres spécialistes ont émis des opinions contraires aptes à mettre sérieusement en doute la pertinence des déductions de l'expert. Tout d’abord, il sied de rappeler que, selon l'expérience, le médecin traitant est généralement enclin, en cas de doute, à prendre parti pour son patient en raison de la relation de confiance qui l'unit à ce dernier (ATF 125 V 351 consid. 3b/cc). Cela étant précisé, force est ensuite de constater que la Dresse G______ et Mme H______ ont contesté de manière générale l’appréciation du Dr I______ sans mentionner les points avec lesquels elles étaient en désaccord. En outre, leur courrier du 23 mars 2015 ne répond à l’évidence pas aux réquisits jurisprudentiels permettant de leur reconnaître une pleine valeur probante. Il ne contient pas</w:t>
      </w:r>
    </w:p>
    <w:p>
      <w:r>
        <w:t>A/184/2015 - 15/16 - d’anamnèse, ni de description des plaintes du recourant et des diagnostics posés. Concernant le courrier de la psychologue du 27 mai 2015, il ne contient aucune critique du rapport d’expertise du Dr I______ ni aucune indication relative au degré de sévérité des atteintes. Partant, les courriers de la Dresse G______ et de Mme H______ ne sont pas susceptibles de remettre en question l’appréciation du Dr I______. Enfin, dans la mesure où Mme J______ n’est pas médecin mais directrice de l’ALCIP, son appréciation ne saurait remettre en question l’expertise du Dr I______. d. En conclusion, eu égard à ce qui précède, il y a lieu de reconnaître à l’expertise du Dr I______ une pleine valeur probante, que ni les appréciations de la Dresse G______ et de Mme H______ ni l’attestation de 14 janvier 2014 (recte 2015) de Mme J______ ne sauraient remettre en question. Par conséquent, il n'y a aucune raison d'écarter l'expertise du dossier et d’en ordonner une nouvelle. 8. Au vu de ce qui précède, le recours sera rejeté. Étant donné que depuis le 1er juillet 2006, la procédure n'est plus gratuite (art. 69 al. 1bis LAI), il y a lieu de condamner le recourant au paiement d'un émolument, arrêté en l’espèce à CHF 200.-.</w:t>
      </w:r>
    </w:p>
    <w:p>
      <w:r>
        <w:t>A/184/2015 - 16/16 -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