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ATAS/55/2013 vom 23. Januar 2013</w:t>
      </w:r>
    </w:p>
    <w:p>
      <w:r>
        <w:t>GE Cour de justice, 2013-01-23, FR</w:t>
      </w:r>
    </w:p>
    <w:p>
      <w:r>
        <w:rPr>
          <w:b/>
        </w:rPr>
        <w:t xml:space="preserve">Quelle: </w:t>
      </w:r>
      <w:r>
        <w:t>https://mcp.opencaselaw.ch/entscheid/ge_gerichte_ATAS_55_2013</w:t>
      </w:r>
    </w:p>
    <w:p>
      <w:r>
        <w:t>FR: GE_GERICHTE ATAS/55/2013 du 23 janvier 2013</w:t>
      </w:r>
    </w:p>
    <w:p>
      <w:r>
        <w:t>IT: GE_GERICHTE ATAS/55/2013 del 23 gennaio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À teneur de l'art. 1 al. 1 LAI, les dispositions de la LPGA, entrées en vigueur le 1er janvier 2003,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A/4512/2011 - 8/13 - modification du point de vue de leur contenu, de sorte que la jurisprudence développée à leur propos peut être reprise et appliquée (ATF 130 V 345 consid. 3).</w:t>
      </w:r>
    </w:p>
    <w:p>
      <w:r>
        <w:rPr>
          <w:b/>
        </w:rPr>
        <w:t>E. 3</w:t>
      </w:r>
    </w:p>
    <w:p>
      <w:r>
        <w:t>Les modifications de la loi fédérale sur l'assurance-invalidité du 21 mars 2003 (4ème révision), du 6 octobre 2005 (5ème révision) et du 18 mars 2011 (révision 6a), entrées en vigueur le 1er janvier 2004, respectivement, le 1er janvier 2008 et le 1er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5 décembre 2011, concerne des faits survenus postérieurement à l'entrée en vigueur de la LPGA ainsi qu'à l'entrée en vigueur, le 1er janvier 2008, des modifications de la LAI du 6 octobre 2006 (5ème révision). Au vu des faits pertinents du point de vue matériel, le droit éventuel aux prestations doit être examiné après le 1er janvier 2008, à la lumière de la 5ème révision (ATF 130 V 445 et les références; voir également ATF 130 V 329).</w:t>
      </w:r>
    </w:p>
    <w:p>
      <w:r>
        <w:rPr>
          <w:b/>
        </w:rPr>
        <w:t>E. 4</w:t>
      </w:r>
    </w:p>
    <w:p>
      <w:r>
        <w:t>Interjeté dans la forme et le délai prévus par la loi, le recours est recevable en vertu des art. 56 et ss LPGA.</w:t>
      </w:r>
    </w:p>
    <w:p>
      <w:r>
        <w:rPr>
          <w:b/>
        </w:rPr>
        <w:t>E. 5</w:t>
      </w:r>
    </w:p>
    <w:p>
      <w:r>
        <w:t>Le litige porte sur la suppression, par voie de révision, du droit de la recourante à une demi-rente d'invalidité à compter du 1er février 2012.</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7</w:t>
      </w:r>
    </w:p>
    <w:p>
      <w:r>
        <w:t>En vertu de l'art. 28 al. 2 LAI, l'assuré a droit à une rente entière s'il est invalide à 70% au moins, à un trois-quart de rente s'il est invalide à 60% au moins, à une demi-rente s'il est invalide à 50% au moins, ou à un quart de rente s'il est invalide à 40% au moins.</w:t>
      </w:r>
    </w:p>
    <w:p>
      <w:r>
        <w:t>A/4512/2011 - 9/13 -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8</w:t>
      </w:r>
    </w:p>
    <w:p>
      <w:r>
        <w:t>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En revanche,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 du 13 juillet 2006, I 406/05, consid. 4.1 et les références).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130 V 343 consid. 3.5.2). c) Depuis le 1er janvier 2008, l'art. 31 al. 1 LAI prévoit toutefois que lorsqu'un assuré ayant droit à une rente perçoit un nouveau revenu ou que son revenu existant augmente, sa rente n'est révisée conformément à l'art. 17 al. 1 LPGA que si</w:t>
      </w:r>
    </w:p>
    <w:p>
      <w:r>
        <w:t>A/4512/2011 - 10/13 - l'amélioration du revenu dépasse 1'500 fr. par an. Dans sa teneur en vigueur jusqu'au 31 décembre 2011, l'art. 31 al. 2 LAI précise que seuls les deux tiers du montant dépassant le seuil de 1'500 fr. sont pris en compte lors de la révision de la rente. Selon la jurisprudence du Tribunal fédéral, l'art. 31 al. 1 LAI ne s'applique que si la perception d'un nouveau revenu (1ère hypothèse) ou l'augmentation du revenu existant (2ème hypothèse) ont eu lieu à compter du 1er janvier 2008, date d'entrée en vigueur de cette disposition (ATF non publié 9C_285/2012). Étant donné que l'art. 31 al. 2 LAI a été abrogé au 1er janvier 2012, seuls les faits pertinents qui se sont produits jusqu'au 31 décembre 2011 sont concernés par cette disposition. En l'espèce, la décision litigieuse, du 5 décembre 2011, se fonde sur le revenu annuel d'invalide de 232'259 fr. réalisé par la recourante en 2010, soit après l'entrée en vigueur de l'art. 31 LAI. Dès lors que la survenance d'un changement notable des circonstances doit être déterminée en comparant les faits tels qu’ils se présentaient au moment de la dernière révision de la rente entrée en force et les circonstances qui régnaient à l’époque de la décision litigieuse (ATF 133 V 108 consid. 5 précité), il convient de comparer le revenu annuel d'invalide 2010 au revenu annuel d'invalide obtenu en 2006 (205'234 fr. 45). En procédant à cette comparaison, l'on obtient une augmentation du revenu annuel de 27'024 fr. 55, de sorte qu'il y a bien matière à révision en vertu de l'art. 31 al. 1 LAI.</w:t>
      </w:r>
    </w:p>
    <w:p>
      <w:r>
        <w:rPr>
          <w:b/>
        </w:rPr>
        <w:t>E. 9</w:t>
      </w:r>
    </w:p>
    <w:p>
      <w:r>
        <w:t>Il reste à déterminer si l'invalidité de la recourante s'est modifiée au point de supprimer son droit à la rente à compter du 1er février 2012. En vertu de l’art. 28a LAI, l’art. 16 LPGA s’applique à l’évaluation de l’invalidité des assurés exerçant une activité lucrative (al. 1er).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 le taux d’invalidité est calculé dans les deux domaines d’activité (al. 3). Toutefois, lorsqu’il y a lieu d’admettre que si l’assuré ne souffrait d’aucune atteinte à la santé, il exercerait, au moment de l’examen de son droit à la rente, une activité lucrative à temps complet, l’invalidité est évaluée exclusivement selon les principes applicables aux personnes exerçant une activité lucrative (art. 27bis RAI).</w:t>
      </w:r>
    </w:p>
    <w:p>
      <w:r>
        <w:t>A/4512/2011 - 11/13 - En l'espèce, la recourante a déclaré que si elle était en bonne santé, elle exercerait son activité de médecin indépendant probablement entre 45 et 50 heures par semaine. Il en découle qu'il y a lieu d'évaluer son invalidité selon les principes applicables aux personnes exerçant une activité lucrative.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 l'espèce, l'intimé a comparé le revenu sans invalidité de médecin adjoint à X__________ réactualisé à 2010 (260'000 fr. pour un plein temps) avec le revenu d'invalide de 232'259 fr. réalisé par la recourante la même année. Au vu des principes exposés ci-dessus, la méthode d'évaluation choisie par l'intimé ne prête pas le flanc à la critique.</w:t>
      </w:r>
    </w:p>
    <w:p>
      <w:r>
        <w:t>A/4512/2011 - 12/13 - Selon l'intimé, la perte de gain de 27'741 fr. (soit 11%) résultant de cette comparaison se révèle insuffisante pour envisager le maintien du droit à une demi- rente. Pour sa part, la recourante ne conteste pas les calculs de l'intimé. Elle se borne à expliquer l'augmentation de ses revenus au cours des deux dernières années par la proportion plus importante de patients psychiatriques. Ce point n'est toutefois pas pertinent dans le cadre de la détermination du revenu d'invalide pour laquelle seul importe le revenu que l'assuré serait raisonnablement en mesure d'obtenir compte tenu de son état de santé (ATF non publié 9C_883/2007 consid. 2.3 et arrêt IV.2010.00901 du Sozialversicherungsgericht du canton de Zurich du 27 avril 2012, consid. 3.2.). Or en l'espèce, les rapports médicaux successifs font état d'une capacité de travail de 50% en tant que médecin sans faire de distinction entre l'activité de généraliste et celle de psychiatre. Partant, l'argument de la recourante ne permet pas de faire abstraction (en tout ou partie) de l'accroissement de ses revenus en 2010. Cela étant, il convient de relever que l'intimé a omis d'appliquer l'art. 31 LAI dans le cadre de la détermination du revenu d'invalide de la recourante. Au sens de l'art. 31 LAI, le montant qu'il convient de prendre en compte à raison de deux tiers se réfère à l'amélioration du revenu (qui dépasse le seuil de 1'500 fr.) et non pas à l'ensemble du revenu (ATF 137 V 369 consid. 4.4.3). Comme en l'espèce, la hausse de revenu intervenue depuis la dernière révision s'élève à 27'024 fr. 55, il y a lieu d'en déduire le montant de 1'500 fr. et de prendre en compte les 2/3 du montant restant. Ce faisant, le revenu d'invalide déterminant en 2010 s'élève à 222'250 fr. 82 [205'234,45 + 2/3 x (27'024,55 - 1'500)]. Il résulte de la comparaison des revenus que la recourante a subi en 2010 une perte de gain de 37'749 fr. 18 (260'000 - 222'250,82), ce qui correspond à un degré d'invalidité de 14,5% [(260'000 - 222'250,82) / 260'000], soit un taux qui demeure insuffisant pour envisager le maintien du droit à une rente quelle qu'elle soit.</w:t>
      </w:r>
    </w:p>
    <w:p>
      <w:r>
        <w:t>Compte tenu de ce qui précède, la recourante n'a pas droit au maintien de sa demi- rente au-delà du 31 janvier 2012.</w:t>
      </w:r>
    </w:p>
    <w:p>
      <w:r>
        <w:rPr>
          <w:b/>
        </w:rPr>
        <w:t>E. 10</w:t>
      </w:r>
    </w:p>
    <w:p>
      <w:r>
        <w:t>Au vu de ce qui précède, le recours, mal fondé, sera rejeté. La procédure n'étant pas gratuite (art. 69 al. 1 bis LAI), il y a lieu de condamner la recourante au paiement d'un émolument de 500 fr.</w:t>
      </w:r>
    </w:p>
    <w:p>
      <w:r>
        <w:t>A/4512/2011 - 13/13 -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