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ATAS/55/2010 vom 21. Januar 2010</w:t>
      </w:r>
    </w:p>
    <w:p>
      <w:r>
        <w:t>GE Cour de justice, 2010-01-21, FR</w:t>
      </w:r>
    </w:p>
    <w:p>
      <w:r>
        <w:rPr>
          <w:b/>
        </w:rPr>
        <w:t xml:space="preserve">Quelle: </w:t>
      </w:r>
      <w:r>
        <w:t>https://mcp.opencaselaw.ch/entscheid/ge_gerichte_ATAS_55_2010</w:t>
      </w:r>
    </w:p>
    <w:p>
      <w:r>
        <w:t>FR: GE_GERICHTE ATAS/55/2010 du 21 janvier 2010</w:t>
      </w:r>
    </w:p>
    <w:p>
      <w:r>
        <w:t>IT: GE_GERICHTE ATAS/55/2010 del 21 gennaio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t>A/31/2009 - 6/16 -</w:t>
      </w:r>
    </w:p>
    <w:p>
      <w:r>
        <w:rPr>
          <w:b/>
        </w:rPr>
        <w:t>E. 3</w:t>
      </w:r>
    </w:p>
    <w:p>
      <w:r>
        <w:t>Interjeté dans les délai et formes prescrits par la loi, le recours est recevable (art. 56 ss et LPGA).</w:t>
      </w:r>
    </w:p>
    <w:p>
      <w:r>
        <w:rPr>
          <w:b/>
        </w:rPr>
        <w:t>E. 4</w:t>
      </w:r>
    </w:p>
    <w:p>
      <w:r>
        <w:t>La loi fédérale du 16 décembre 2005 modifiant la loi fédérale sur l'assurance- 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S'agissant des modifications de la LAI du 6 octobre 2006 (5ème révision de la LAI), entrées en vigueur le 1er janvier 2008 (à l'exception de l'art. 68quater entré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 3 décembre 2008 à la lumière des anciennes dispositions de la LAI pour la période s'étendant jusqu'au 31 décembre 2007 et, le cas échéant, au regard des nouvelles dispositions de la LAI pour la période postérieure (ATF 130 V 332 consid. 2.2 et 2.3).</w:t>
      </w:r>
    </w:p>
    <w:p>
      <w:r>
        <w:rPr>
          <w:b/>
        </w:rPr>
        <w:t>E. 5</w:t>
      </w:r>
    </w:p>
    <w:p>
      <w:r>
        <w:t>Il convient de déterminer le droit du recourant à des prestations de l'assurance- invalidité. a) La notion d'invalidité est, en principe, identique en matière d'assurance- 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 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w:t>
      </w:r>
    </w:p>
    <w:p>
      <w:r>
        <w:t>A/31/2009 - 7/16 - faisant totalement abstraction de la décision rendue par l'autre. A tout le moins, une évaluation entérinée par une décision entrée en force ne peut pas rester simplement ignorée. b)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w:t>
      </w:r>
    </w:p>
    <w:p>
      <w:r>
        <w:t>A/31/2009 - 8/16 - tranchée de cas en cas à la lumière de différents critères. D’autre part,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w:t>
      </w:r>
    </w:p>
    <w:p>
      <w:r>
        <w:t>A/31/2009 - 9/16 -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c)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A/31/2009 - 10/16 -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w:t>
      </w:r>
    </w:p>
    <w:p>
      <w:r>
        <w:t>A/31/2009 - 11/16 - 117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6</w:t>
      </w:r>
    </w:p>
    <w:p>
      <w:r>
        <w:t>En l'occurrence, l'assurance-accidents a octroyé une rente d'invalidité-accidents à l'assuré sur la base d'un entretien avec le psychiatre-conseil de la SUVA. Ce médecin diagnostique des troubles de l'adaptation avec réaction émotionnelle mixte, dépressive et anxieuse, sans en qualifier la gravité. Il estime que les acouphènes présents de longue date ont fini par avoir un impact psychologique non négligeable sur le recourant. Les médecins traitants de ce dernier estiment par ailleurs tous qu'il présente une totale incapacité de travail dans toute activité. L'assuré a été soumis à une expertise psychiatrique en mars 2008 dans le cadre de l'assurance-invalidité, conduite par la Dresse F_____________. Cependant, cette expertise n'est pas convaincante. En effet, la psychiatre ne discute pas des effets des acouphènes sur la capacité de travail et sur l'humeur alors que le médecin-conseil de la SUVA expose que l'incapacité de l'assuré provient justement de cet effet (les acouphènes "rendent littéralement fou" l'assuré). L'on ignore par ailleurs si ces acouphènes peuvent être mesurés médicalement ou s'ils relèvent de troubles somatoformes douloureux comme semble le retenir le Dr E_____________. Les conséquences des insomnies sur la capacité de travail ne sont pas non plus clairement exposées puisque tantôt l'experte retient que les troubles majeurs du sommeil n'ont pas de conséquences négatives et que tantôt elle explique qu'ils constituent des limitations fonctionnelles à ladite capacité. Au vu des zones d'ombre de cette expertise, le Tribunal de céans estime qu'elle n'a pas valeur probante au sens de la jurisprudence fédérale et que ses conclusions ne</w:t>
      </w:r>
    </w:p>
    <w:p>
      <w:r>
        <w:t>A/31/2009 - 12/16 - peuvent être suivies. Il apparaît en effet que l'expert doit notamment se prononcer sur les critères permettant d'évaluer si le trouble somatoforme est invalidant ou non. Dès lors, il ordonnera une nouvelle expertise psychiatrique ainsi qu'une expertise conduite par un médecin otorhino-laryngologue.</w:t>
      </w:r>
    </w:p>
    <w:p>
      <w:r>
        <w:t>A/31/2009 - 13/16 -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