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ATAS/559/2018 vom 25. Juni 2018</w:t>
      </w:r>
    </w:p>
    <w:p>
      <w:r>
        <w:t>GE Cour de justice, 2018-06-25, FR</w:t>
      </w:r>
    </w:p>
    <w:p>
      <w:r>
        <w:rPr>
          <w:b/>
        </w:rPr>
        <w:t xml:space="preserve">Quelle: </w:t>
      </w:r>
      <w:r>
        <w:t>https://mcp.opencaselaw.ch/entscheid/ge_gerichte_ATAS_559_2018</w:t>
      </w:r>
    </w:p>
    <w:p>
      <w:r>
        <w:t>FR: GE_GERICHTE ATAS/559/2018 du 25 juin 2018</w:t>
      </w:r>
    </w:p>
    <w:p>
      <w:r>
        <w:t>IT: GE_GERICHTE ATAS/559/2018 del 25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cum art. 30 LPGA, ainsi que 64 al. 2 et 89A et ss LPA) dans la mesure où il tend implicitement à l'annulation de la décision entreprise.</w:t>
      </w:r>
    </w:p>
    <w:p>
      <w:r>
        <w:rPr>
          <w:b/>
        </w:rPr>
        <w:t>E. 3</w:t>
      </w:r>
    </w:p>
    <w:p>
      <w:r>
        <w:t>Le litige se limite au point de savoir si l’intimé était fondé à refuser d’entrer en matière sur la dernière demande de prestations du recourant.</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w:t>
      </w:r>
    </w:p>
    <w:p>
      <w:r>
        <w:t>A/3073/2017 - 8/14 -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6</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w:t>
      </w:r>
    </w:p>
    <w:p>
      <w:r>
        <w:t>A/3073/2017 - 9/14 -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7</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w:t>
      </w:r>
    </w:p>
    <w:p>
      <w:r>
        <w:t>A/3073/2017 - 10/14 - 28 consid. 4b), la jurisprudence rendue sous l’empire de l’art. 4 aCst. étant toujours valable (ATF 124 V 94 consid. 4b, 122 V 162 consid. 1d).</w:t>
      </w:r>
    </w:p>
    <w:p>
      <w:r>
        <w:rPr>
          <w:b/>
        </w:rPr>
        <w:t>E. 10</w:t>
      </w:r>
    </w:p>
    <w:p>
      <w:r>
        <w:t>a. En l'espèce, au vu des principes rappelés précédemment, l'état de santé de l'assuré au moment du dépôt de sa nouvelle demande, reçue par l'OAI le 23 mai 2017, doit s'apprécier en fonction de ce qu'il était lorsqu'a été rendue la dernière décision en force ayant statué de manière complète sur les droits de l'intéressé en matière d'assurance-invalidité, soit en l'espèce sur la base de l'état du dossier à la date de la dernière décision de refus entrée en force, du 28 novembre 2016. Force est de constater que le certificat médical du Dr C______ que l'assuré a produit avec son courrier de demande de réouverture du dossier ne relevait aucun élément sérieux permettant de rendre vraisemblable une aggravation de son état de santé, depuis la dernière décision de refus de rente et de mesures professionnelles du 28 novembre 2016. Le médecin traitant constate que l'intéressé s'était à nouveau présenté chez le médecin, pour des lombalgies basses chroniques, déjà connues lors de la première demande d'incapacité, qui ne lui avait pas permis de reprendre un emploi à temps complet depuis mars 2016 en tout cas. Le certificat du Dr C______ relevait d'ailleurs que le patient lui avait signalé être actuellement suivi pour des problèmes d'acouphènes. L'examen clinique montrait que l'intéressé était en surpoids, élément qui existait déjà préalablement ; le médecin relève que la mobilité de la colonne lombaire n'était pas nettement limitée, mais douloureuse au niveau dorsolombaire. Les trapèzes n'étaient pas contracturés et l'intéressé marchait sans boiterie. Pour l'essentiel, le patient continuait à souffrir de rachialgies avec des lombalgies chroniques, ainsi que de douleurs des moyens fessiers et dorsalgies plus récentes. Ce rapport rappelait encore qu'il y avait environ une année (soit avant la décision de refus précédente), un bilan radiologique comportant un scanner lombaire avait montré une arthrose interfacettaire postérieure L5-S1 et des débords circonférentiels discaux de L2 à S1 sans image de conflit discoradiculaire ni rétrécissement canalaire ou foraminal, ces éléments étant déjà connus. Le médecin traitant conclut encore qu'au vu de la persistance des plaintes au niveau du rachis et après avoir discuté avec le patient de la possibilité d'augmenter le temps de travail, de nouveau certificat d'IT lui avait été donné avec une CT de 40 %. Il poursuivait pour le moment des séances de physiothérapie et les traitements médicamenteux cités. Ces éléments sont clairement superposables, à d'infimes nuances près, au rapport précédent de ce médecin traitant, notamment celui du 7 mars 2016. Ce rapport médical, déjà à la forme, ne fait état d'aucune aggravation de l'état de santé, mais plutôt d'une situation chronique existante depuis longtemps. Sur le fond, il n'évoque aucune IT par rapport aux propres conclusions précédentes du Dr C______ qui considérait, en 2016, que moyennant le respect des limitations fonctionnelles, la CT était de 100 % dans une activité adaptée. Le Dr C______ ne retient aucune limitation fonctionnelle supplémentaire. Du reste, il explique même avoir pris l'initiative d'évoquer avec le patient la possibilité d'augmenter le temps de travail. Il indique, sans le justifier objectivement, avoir finalement « donné » de</w:t>
      </w:r>
    </w:p>
    <w:p>
      <w:r>
        <w:t>A/3073/2017 - 11/14 - nouveaux certificats médicaux avec une CT de 40 %, correspondant plutôt aux desiderata de l'assuré et la propre évaluation de sa CT, par le patient lui-même, au demeurant rigoureusement identiques à celle qu'il estimait au printemps 2016 (rapport du Dr C______ du 7 mars 2016). On ne saurait ainsi remettre en cause l'interprétation qu'en a faite le SMR, qui arrive à juste titre à la conclusion que l'assuré n'a pas rendu plausible une aggravation de son état de santé, les conclusions précédentes du SMR, du 22 juin 2016, restant valables. b. Certes, l'assuré avait également produit avec sa demande, une attestation médicale de son médecin ORL, le Dr D______, lequel fait état d'un traitement d'urgence en février 2017 aux HUG, pour une otite accompagnée d'une surdité brusque de son audition à droite ; on comprend toutefois de ce document qu'en mai 2017, l'intéressé semble encore souffrir de quelques séquelles de l'incident de février 2017. On ne saurait déceler dans cette attestation la moindre aggravation durable de l'état de santé du patient, le médecin indiquant simplement que l'intéressé a besoin d'un travail dans un milieu calme. Quoi qu'il en soit, cette attestation médicale, laconique, ne se prononce nullement sur une incapacité de travail, et ne réunit de toute manière pas les conditions nécessaires pour se voir reconnaître une pleine valeur probante. Il est vrai que formellement le SMR ne s'était pas prononcé, dans son rapport final subséquent du 31 mai 2017, spécifiquement sur cette attestation du Dr D______. Cela n'avait d'ailleurs échappé ni à la représentante de l'intimé, qui s'en est expliquée lors de la comparution personnelle, ni à la chambre de céans qui a souhaité, par acquit de conscience, vérifier ce qu'il en était auprès du SMR. En effet, il apparaissait a priori que l'affection concernée n'avait pas d'incidence durable sur l'état de santé du recourant, et ne pouvait être considérée comme un indice d'une aggravation de l'état de santé pouvant de manière plausible avoir une incidence sur les droits de l'assuré, mais il convenait néanmoins de le vérifier. De fait, le SMR a confirmé dans son avis du 22 novembre 2017 avoir tenu compte de toutes les pièces médicales apportées par l'assuré, à savoir le courrier du Dr C______ du 16 mai 2017, et l'attestation médicale du Dr D______ - dont on observera d'ailleurs qu'elle corroborait les indications que l'assuré avait données au Dr C______, qui en a fait état dans son propre rapport -. Le SMR a dès lors confirmé que l'attestation médicale du Dr D______ ne fait pas état d'atteintes durablement incapacitantes, la perte d'audition et les acouphènes faisant vraisemblablement suite à l'otite. c. On remarquera encore qu'avant de rendre la décision de refus d'entrée en matière, objet du recours, l'OAI avait dûment informé l'assuré de son intention de ne pas entrer en matière, pour les raisons exposées dans son projet de décision du 1er juin 2017. L'office lui avait alors expressément donné la possibilité de faire valoir ses objections éventuelles dans le délai de 30 jours, par écrit ou oralement dans le cadre d'une entrevue sur rendez-vous. Or, l'intéressé n'a pas fait usage du droit qui lui</w:t>
      </w:r>
    </w:p>
    <w:p>
      <w:r>
        <w:t>A/3073/2017 - 12/14 - était réservé, de sorte que la décision de refus d'entrer en matière du 12 juillet 2017 a été rendue sur la base des éléments et motifs énoncés dans le projet de décision. d. Enfin, la chambre de céans a donné à plusieurs reprises au recourant l'occasion de s'exprimer verbalement devant ses juges: elle a annulé la première audience de comparution personnelle, à la demande de l'intéressé, au motif qu'il se trouvait à l'étranger et qu'il ne pourrait pas comparaître à l'audience, en raison de l'état de santé de sa mère, âgée, ayant dû subir, selon ses explications (courrier du 9 octobre 2017), une opération à cœur ouvert au Liban. Ce courrier indiquait que l'intéressé serait disponible dès le 20 novembre 2017. En fonction de cela, la chambre a fixé une nouvelle audience, à cette date. Mais l'intéressé n'a pas jugé bon de s'y présenter, invoquant toujours le même motif, relatif à l'opération à cœur ouvert de sa mère, dans un fax adressé à la juridiction le jour-même ou le lendemain de l'audience, quand bien même, ayant pris contact téléphoniquement avec la juridiction, le vendredi précédent pour le lundi (jour de l'audience), et ayant été informé verbalement par la greffière que cette audience serait maintenue, sauf justes motifs à communiquer sans délai à la juridiction. L'audience a eu lieu, et elle a tout de même permis à la chambre de céans d'obtenir de l'intimé les renseignements qu'elle estimait utiles. Ces éléments ont par la suite été communiqués au recourant, un délai lui étant imparti pour formuler ses observations éventuelles, par écrit cette fois-ci. Il ne s'est pas prononcé sur les explications de l'intimé en audience, ni à propos des renseignements recueillis depuis lors par la chambre de céans. Il est toutefois uniquement revenu sur les motifs de son absence à la deuxième audience de comparution personnelle : il a alors produit un certificat médical daté du 31 octobre 2017, attestant que sa mère avait été admise à l'hôpital le 26 octobre pour être opérée à cœur ouvert le 28 octobre 2017. Or, cette opération était déjà évoquée dans le courrier du 9 octobre 2017 du recourant, comme justification à son absence à l'audience du 16 ; elle est finalement intervenue presque un mois avant la seconde audience, fixée en fonction des disponibilités indiquées par le recourant lui-même. Au vu de ce qui précède, et conformément à la jurisprudence rappelée précédemment, la chambre de céans, estime inutile de convoquer une troisième fois une audience de comparution personnelle, d'autant que l'intéressé n'a de toute manière pas pris position alors qu'il le pouvait, par écrit, sur les éléments apportés dans le cadre de l'instruction de la cause. En tout état, une telle mesure d'instruction ne serait pas de nature à modifier l'issue du litige (appréciation anticipée des preuves ; ATF 122 II 469 consid. 4a, 122 III 223 consid. 3c), d'autant que la chambre de céans, comme elle l'a rappelé précédemment, ne peut se prononcer, dans le cadre d'un recours contre un refus d'entrer en matière, que sur la question de savoir si le recourant avait rendu plausible ou non l'aggravation alléguée de son état de santé, et ceci en fonction de l'état du dossier au moment où la décision de l'OAI a été rendue.</w:t>
      </w:r>
    </w:p>
    <w:p>
      <w:r>
        <w:t>A/3073/2017 - 13/14 - Au vu de ce qui précède, c'est à juste titre que l'OAI a refusé d'entrer en matière sur la demande de prestations du 23 mai 2017. Le recours sera donc rejeté.</w:t>
      </w:r>
    </w:p>
    <w:p>
      <w:r>
        <w:rPr>
          <w:b/>
        </w:rPr>
        <w:t>E. 11</w:t>
      </w:r>
    </w:p>
    <w:p>
      <w:r>
        <w:t>Depuis le 1er juillet 2006, la procédure n'est plus gratuite : l'art. 69 al. 1bis LAI prévoit en effet qu'en dérogation à l’art. 61, let. a LPGA, la procédure de recours en matière de contestations portant sur l’octroi ou le refus de prestations de l’AI devant la chambre des assurances sociales est soumise à des frais de justice, dont le montant doit se situer entre CHF 200.- et CHF 1’000.-. Il y a dès lors lieu de condamner le recourant au paiement d'un émolument de CHF 200.-.</w:t>
      </w:r>
    </w:p>
    <w:p>
      <w:r>
        <w:t>A/3073/2017 - 14/14 -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