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https://mcp.opencaselaw.ch/entscheid/ge_gerichte_ATAS_559_2012</w:t>
      </w:r>
    </w:p>
    <w:p>
      <w:r>
        <w:t>FR: GE_GERICHTE ATAS/559/2012 du 27 avril 2012</w:t>
      </w:r>
    </w:p>
    <w:p>
      <w:r>
        <w:t>IT: GE_GERICHTE ATAS/559/2012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A/3519/2011 ATAS/559/2012 ARRET DU TRIBUNAL ARBITRAL DES ASSURANCES du 27 avril 2012</w:t>
      </w:r>
    </w:p>
    <w:p>
      <w:r>
        <w:t>En la cause X__________ à Chêne-Bourg, comparant avec élection de domicile en l'étude de Maître REY Stéphane demandeurs</w:t>
      </w:r>
    </w:p>
    <w:p>
      <w:r>
        <w:t>contre Y__________ à Martigny Z_________ à Martigny</w:t>
      </w:r>
    </w:p>
    <w:p>
      <w:r>
        <w:t>défenderesses</w:t>
      </w:r>
    </w:p>
    <w:p>
      <w:r>
        <w:t>A/3519/2011 - 2/2 - Vu la demande en paiement de X___________ datée du 26 septembre 2011, déposée le 1er novembre 2011 ; Attendu que par courrier daté du 1er mars 2012, reçu le 19 avril 2012, X_________ a déclaré retirer sa demande, d’un commun accord avec les défenderesses,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