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ATAS/559/2011 vom 31. Mai 2011</w:t>
      </w:r>
    </w:p>
    <w:p>
      <w:r>
        <w:t>GE Cour de justice, 2011-05-31, FR</w:t>
      </w:r>
    </w:p>
    <w:p>
      <w:r>
        <w:rPr>
          <w:b/>
        </w:rPr>
        <w:t xml:space="preserve">Quelle: </w:t>
      </w:r>
      <w:r>
        <w:t>https://mcp.opencaselaw.ch/entscheid/ge_gerichte_ATAS_559_2011</w:t>
      </w:r>
    </w:p>
    <w:p>
      <w:r>
        <w:t>FR: GE_GERICHTE ATAS/559/2011 du 31 mai 2011</w:t>
      </w:r>
    </w:p>
    <w:p>
      <w:r>
        <w:t>IT: GE_GERICHTE ATAS/559/2011 del 31 maggio 2011</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LPGA).</w:t>
      </w:r>
    </w:p>
    <w:p>
      <w:r>
        <w:rPr>
          <w:b/>
        </w:rPr>
        <w:t>E. 3</w:t>
      </w:r>
    </w:p>
    <w:p>
      <w:r>
        <w:t>Déposé dans les forme et délai prévus par la loi, le présent recours est recevable (art. 60 LPGA).</w:t>
      </w:r>
    </w:p>
    <w:p>
      <w:r>
        <w:rPr>
          <w:b/>
        </w:rPr>
        <w:t>E. 4</w:t>
      </w:r>
    </w:p>
    <w:p>
      <w:r>
        <w:t>Le litige porte sur la question de savoir si la mainlevée des oppositions faites par l'assurée aux commandements de payer, poursuites nos 10784276, 10787497 et 10790988, doit ou non être ordonnée.</w:t>
      </w:r>
    </w:p>
    <w:p>
      <w:r>
        <w:rPr>
          <w:b/>
        </w:rPr>
        <w:t>E. 5</w:t>
      </w:r>
    </w:p>
    <w:p>
      <w:r>
        <w:t>Un des buts principaux de la LAMal est de rendre l’assurance-maladie obligatoire pour l’ensemble de la population en Suisse (ATF 125 V 271 consid. 5b). Aussi bien l’art. 3 al. 1 LAMal pose-t-il le principe de l’obligation d’assurance pour toute personne domiciliée en Suisse. Quant aux art. 2 à 6 de l’ordonnance (OAMal), ils prévoient les personnes qui sont exceptées de l’obligation de s’assurer.</w:t>
      </w:r>
    </w:p>
    <w:p>
      <w:r>
        <w:rPr>
          <w:b/>
        </w:rPr>
        <w:t>E. 6</w:t>
      </w:r>
    </w:p>
    <w:p>
      <w:r>
        <w:t>En l’espèce, il est constant que l'assurée, domiciliée en Suisse, est soumise à l’assurance obligatoire conformément à l’art. 3 al. 1 LAMal et qu’elle ne fait pas partie du cercle des personnes visées aux art. 2 à 6 OAMal. Elle ne l’allègue d’ailleurs pas.</w:t>
      </w:r>
    </w:p>
    <w:p>
      <w:r>
        <w:rPr>
          <w:b/>
        </w:rPr>
        <w:t>E. 7</w:t>
      </w:r>
    </w:p>
    <w:p>
      <w:r>
        <w:t>L'assurée a résilié son contrat d'assurance le 13 octobre 2009 avec effet au 31 décembre 2009.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(art. 7 al. 5 LAMal). Lorsque le changement d'assureur est impossible du fait de l'ancien assureur, celui-ci doit réparer le dommage qui en résulte pour l'assuré, en particulier la différence de prime (art. 7 al. 6 LAMal, novelle du 24 mars 2000). A cet égard, il convient de rappeler que la loi ne règle pas le moment où le rapport d'assurance existant prend fin lorsque la communication du nouvel assureur selon l'art. 7 al. 5 LAMal intervient tardivement. Comblant cette lacune authentique, le Tribunal fédéral des assurances a jugé qu'en pareilles circonstances, l'ancien rapport d'assurance s'éteint à la fin du mois au cours duquel l'information tardive parvient à</w:t>
      </w:r>
    </w:p>
    <w:p>
      <w:r>
        <w:t>A/3096/2010 - 6/7 - l'assureur précédent (ATF 127 V 41-42 consid. 4b/dd-ee ; arrêt du 15 juillet 2002, K 135/01).</w:t>
      </w:r>
    </w:p>
    <w:p>
      <w:r>
        <w:rPr>
          <w:b/>
        </w:rPr>
        <w:t>E. 8</w:t>
      </w:r>
    </w:p>
    <w:p>
      <w:r>
        <w:t>Il appert de la partie en fait qui précède que SANAGATE n'a fait parvenir l'attestation à la caisse-maladie que le 6 juillet 2010. Il y a toutefois lieu de constater que la caisse-maladie avait déjà reçu copie de la nouvelle police d'assurance le 25 juin 2010, selon le timbre apposé sur le courrier du 21 juin 2010 que lui avait adressé l'assurée. C'est à cette date que la caisse-maladie avait connaissance du fait qu'il n'y avait pas d'interruption de la protection d'assurance pour l'assurée. L'affiliation auprès de la caisse-maladie peut dès lors intervenir au 30 juin 2010 déjà.</w:t>
      </w:r>
    </w:p>
    <w:p>
      <w:r>
        <w:rPr>
          <w:b/>
        </w:rPr>
        <w:t>E. 9</w:t>
      </w:r>
    </w:p>
    <w:p>
      <w:r>
        <w:t>Il est vrai que l'assurée fait valoir qu'elle a informé la caisse-maladie qu'elle s'était assurée auprès d'une autre caisse le 6 juin 2010. Force est cependant de relever que l'assurée n'a pas produit de courrier daté du 6 juin 2010. Elle n'allègue quoi qu'il en soit pas qu'il contenait l'attestation de la nouvelle assurance. Dès lors, la date du 6 juin 2010 ne saurait être retenue.</w:t>
      </w:r>
    </w:p>
    <w:p>
      <w:r>
        <w:rPr>
          <w:b/>
        </w:rPr>
        <w:t>E. 10</w:t>
      </w:r>
    </w:p>
    <w:p>
      <w:r>
        <w:t>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OAMal). Les assureurs doivent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w:t>
      </w:r>
    </w:p>
    <w:p>
      <w:r>
        <w:rPr>
          <w:b/>
        </w:rPr>
        <w:t>E. 11</w:t>
      </w:r>
    </w:p>
    <w:p>
      <w:r>
        <w:t>Il est incontestable, en l’espèce, que la caisse est en droit de poursuivre le recourant pour le montant des primes impayées, ainsi que pour les frais de sommation (ATF 125 V 276 ; art 15 et 17 des Conditions générales de l'assurance obligatoire des soins de l'intimée). Quant au montant dû, il n’est, comme tel, pas contesté.</w:t>
      </w:r>
    </w:p>
    <w:p>
      <w:r>
        <w:rPr>
          <w:b/>
        </w:rPr>
        <w:t>E. 12</w:t>
      </w:r>
    </w:p>
    <w:p>
      <w:r>
        <w:t>Aussi le recours, mal fondé, doit-il être rejeté.</w:t>
      </w:r>
    </w:p>
    <w:p>
      <w:r>
        <w:t>A/3096/2010 - 7/7 -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