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ATAS/558/2025 vom 21. Juli 2025</w:t>
      </w:r>
    </w:p>
    <w:p>
      <w:r>
        <w:t>GE Cour de justice, 2025-07-21, FR</w:t>
      </w:r>
    </w:p>
    <w:p>
      <w:r>
        <w:rPr>
          <w:b/>
        </w:rPr>
        <w:t xml:space="preserve">Quelle: </w:t>
      </w:r>
      <w:r>
        <w:t>https://mcp.opencaselaw.ch/entscheid/ge_gerichte_ATAS_558_2025</w:t>
      </w:r>
    </w:p>
    <w:p>
      <w:r>
        <w:t>FR: GE_GERICHTE ATAS/558/2025 du 21 juillet 2025</w:t>
      </w:r>
    </w:p>
    <w:p>
      <w:r>
        <w:t>IT: GE_GERICHTE ATAS/558/2025 del 21 luglio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En l’espèce, il est rappelé que l’intimé a partiellement admis l’opposition du recourant, en ce sens qu’il a tenu compte d’une pension alimentaire due en faveur de son fils. En effet, cette dépense, précédemment reconnue à hauteur de CHF 7'440.-, avait été intégralement supprimée par décision du 11 avril 2025, puis admise dans le cadre de l’opposition, l’intéressé ayant entrepris les démarches utiles auprès du TPI. Il ressort cependant de la décision litigieuse que le montant pris en considération a été revu à la baisse, car l’intimé avait omis, dans ses calculs antérieurs, de prendre en compte la rente pour enfant de l’AVS, d’un montant de CHF 609.- par mois en 2025, correspondant à un montant annuel de CHF 7'308.- (et non « CHF 7'316.- »). Le recourant ne fait valoir aucun grief à l’encontre de l’argumentation de l’intimé. Il ne soutient notamment pas que son fils ne donnerait pas droit à une rente complémentaire pour enfant, ni que cette prestation serait en réalité versée directement à son fils ou à son ex-épouse, ni que l’intimé aurait déjà tenu compte de cette rente dans ses revenus déterminants. Il n’apparait donc pas, selon toute vraisemblance, que le recourant l'emportera dans la cause principale.</w:t>
      </w:r>
    </w:p>
    <w:p>
      <w:r>
        <w:rPr>
          <w:b/>
        </w:rPr>
        <w:t>E. 7</w:t>
      </w:r>
    </w:p>
    <w:p>
      <w:r>
        <w:t>Au vu de ce qui précède, la demande de restitution de l’effet suspensif au recours ne peut qu’être rejetée.</w:t>
      </w:r>
    </w:p>
    <w:p>
      <w:r>
        <w:t>- 8/8 -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