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ATAS/558/2024 vom 3. Juli 2024</w:t>
      </w:r>
    </w:p>
    <w:p>
      <w:r>
        <w:t>GE Cour de justice, 2024-07-03, FR</w:t>
      </w:r>
    </w:p>
    <w:p>
      <w:r>
        <w:rPr>
          <w:b/>
        </w:rPr>
        <w:t xml:space="preserve">Quelle: </w:t>
      </w:r>
      <w:r>
        <w:t>https://mcp.opencaselaw.ch/entscheid/ge_gerichte_ATAS_558_2024</w:t>
      </w:r>
    </w:p>
    <w:p>
      <w:r>
        <w:t>FR: GE_GERICHTE ATAS/558/2024 du 3 juillet 2024</w:t>
      </w:r>
    </w:p>
    <w:p>
      <w:r>
        <w:t>IT: GE_GERICHTE ATAS/558/2024 del 3 luglio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la caisse de prononcer à l’encontre de l’assuré la suspension de son droit à l’indemnité de l’assurance-chômage pour une durée de 31 jours, au motif qu’il est sans travail par sa propre faute.</w:t>
      </w:r>
    </w:p>
    <w:p>
      <w:r>
        <w:rPr>
          <w:b/>
        </w:rPr>
        <w:t>E. 4.1</w:t>
      </w:r>
    </w:p>
    <w:p>
      <w:r>
        <w:t>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w:t>
      </w:r>
    </w:p>
    <w:p>
      <w:r>
        <w:t>A/4106/2023 - 8/15 - travail, a donné à son employeur un motif de résiliation du contrat de travail (art. 44 al. 1 let. a OACI).</w:t>
      </w:r>
    </w:p>
    <w:p>
      <w:r>
        <w:rPr>
          <w:b/>
        </w:rPr>
        <w:t>E. 4.2</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8C_316/2007 du 6 avril 2008 consid. 2.1.2). Il n’est pas nécessaire que l’assuré ait violé ses obligations contractuelles de travail pour qu’une suspension de son droit à l’indemnité de chômage puisse lui être infligée (arrêt du Tribunal fédéral C 254/06 du 26 novembre 2007 consid. 4.2).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(ATF 112 V 242 consid. 1 ; arrêt du Tribunal fédéral 8C_370/2014 11 juin 2015 consid. 2.2 ; Thomas NUSSBAUMER, in Schweizerisches Bundesverwaltungsrecht [SBVR], Arbeitslosenversicherung, vol. XIV, 3e éd. 2016, p. 2515 n. 837). En outre, il est nécessaire, en application de l’art. 20 let. b de la Convention n° 168 concernant la promotion de l’emploi et la protection contre le chômage du 21 juin 1988 (RS 0.822.726.8), que l’assuré ait délibérément contribué à son renvoi, c’est-à-dire qu’il ait au moins pu s’attendre à recevoir son congé et qu’il se soit ainsi rendu coupable d’un dol éventuel (arrêt du Tribunal fédéral 8C_268/2015 du 6 août 2015 consid. 4.2 et les références). Le dol simple entraîne a fortiori une sanction (Boris RUBIN, Commentaire de la loi sur l’assurance-chômage, 2014, n. 24 ad art. 30 LACI).</w:t>
      </w:r>
    </w:p>
    <w:p>
      <w:r>
        <w:rPr>
          <w:b/>
        </w:rPr>
        <w:t>E. 4.3</w:t>
      </w:r>
    </w:p>
    <w:p>
      <w:r>
        <w:t>La durée de la suspension du droit à l’indemnité de chômage est fixée compte tenu non seulement de la faute, mais également du principe de proportionnalité (arrêt du Tribunal fédéral C 254/06 du 26 novembre 2007).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w:t>
      </w:r>
    </w:p>
    <w:p>
      <w:r>
        <w:t>A/4106/2023 - 9/15 -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Commentaire de la loi sur l’assurance-chômage, 2014, n. 110 ad art. 30).</w:t>
      </w:r>
    </w:p>
    <w:p>
      <w:r>
        <w:rPr>
          <w:b/>
        </w:rPr>
        <w:t>E. 4.4</w:t>
      </w:r>
    </w:p>
    <w:p>
      <w:r>
        <w:t>La Directive LACI IC du Secrétariat d’État à l’économie (ci-après : SECO) relative au marché du travail et à l’indemnité de chômage prévoit notamment qu’il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(Directive LACI IC, D18). Aucune suspension pour chômage fautif ne sera prononcée lorsque le comportement de l’assuré est excusable. Le surmenage, l’état de santé et un mauvais rendement au travail doivent être pris en compte lors de la suspension. Le harcèlement sexuel au travail ou le mobbing peuvent diminuer la faute, voire la supprimer (Directive LACI IC, D22 et les références : arrêts du Tribunal fédéral C 289/03 du 24 mars 2005 et C 155/00 du 20 avril 2001).</w:t>
      </w:r>
    </w:p>
    <w:p>
      <w:r>
        <w:rPr>
          <w:b/>
        </w:rPr>
        <w:t>E. 4.5</w:t>
      </w:r>
    </w:p>
    <w:p>
      <w:r>
        <w:t>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(Directive LACI IC, D64).</w:t>
      </w:r>
    </w:p>
    <w:p>
      <w:r>
        <w:rPr>
          <w:b/>
        </w:rPr>
        <w:t>E. 4.6</w:t>
      </w:r>
    </w:p>
    <w:p>
      <w:r>
        <w:t>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l’échelle de suspensions à l’intention des caisses de chômage établie par le SECO, la faute est qualifiée de légère à grave en cas de licenciement du travailleur dans le respect des délais de congé en raison de son comportement, en particulier de la violation de ses obligations contractuelles de travail. Les avertissements de l’employeur peuvent entraîner un durcissement de la sanction ; leur nombre, leur</w:t>
      </w:r>
    </w:p>
    <w:p>
      <w:r>
        <w:t>A/4106/2023 - 10/15 - intervalle, leur motif et le fait que le dernier avertissement précède ou non de peu la résiliation, sont des facteurs à prendre en compte (Directive LACI IC, D75, 1.B).</w:t>
      </w:r>
    </w:p>
    <w:p>
      <w:r>
        <w:rPr>
          <w:b/>
        </w:rPr>
        <w:t>E. 4.7</w:t>
      </w:r>
    </w:p>
    <w:p>
      <w:r>
        <w:t>Une suspension du droit à l’indemnité ne peut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arrêts du Tribunal fédéral 8C_497/2011 du 4 avril 2012 consid. 4; 8C_660/2009 du 18 mars 2010 consid. 3 ; C 190/06 du 20 décembre 2006 consid. 1.2).</w:t>
      </w:r>
    </w:p>
    <w:p>
      <w:r>
        <w:rPr>
          <w:b/>
        </w:rPr>
        <w:t>E. 5</w:t>
      </w:r>
    </w:p>
    <w:p>
      <w:r>
        <w:t>Aux termes de l’art. 336 al. 1 let. d de la loi fédérale du 30 mars 1911, complétant le CO, le congé est abusif lorsqu’il est donné par une partie parce que l’autre partie fait valoir de bonne foi des prétentions résultant du contrat de travail. Selon l’art. 336a CO, la partie qui résilie abusivement le contrat doit verser à l’autre une indemnité (al. 1). L’indemnité est fixée par le juge, compte tenu de toutes les circonstances ; toutefois, elle ne peut dépasser le montant correspondant à six mois de salaire du travailleur. Sont réservés les dommages-intérêts qui pourraient être dus à un autre titre (al. 2). Conformément à l’art. 336b CO, la partie qui entend demander l’indemnité fondée sur les art. 336 et 336a doit faire opposition au congé par écrit auprès de l’autre partie au plus tard jusqu’à la fin du délai de congé (al.1).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w:t>
      </w:r>
    </w:p>
    <w:p>
      <w:r>
        <w:rPr>
          <w:b/>
        </w:rPr>
        <w:t>E. 6</w:t>
      </w:r>
    </w:p>
    <w:p>
      <w:r>
        <w:t>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w:t>
      </w:r>
    </w:p>
    <w:p>
      <w:r>
        <w:rPr>
          <w:b/>
        </w:rPr>
        <w:t>E. 7</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w:t>
      </w:r>
    </w:p>
    <w:p>
      <w:r>
        <w:t>A/4106/2023 - 11/15 - des faits invoqués, faute de quoi elles risquent de devoir supporter les conséquences de l'absence de preuves (ATF 125 V 195 consid. 2 et les références ;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(arrêts du Tribunal fédéral C 294/99 du 14 décembre 1999 consid. 2a, in DTA 2000 n° 25 p. 122 ; 8C_427/2010 du 25 août 2010 consid. 5.1 et 8C_591/2012 du 29 juillet 2013 consid. 4).</w:t>
      </w:r>
    </w:p>
    <w:p>
      <w:r>
        <w:rPr>
          <w:b/>
        </w:rPr>
        <w:t>E. 8</w:t>
      </w:r>
    </w:p>
    <w:p>
      <w:r>
        <w:t>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 IC D18). En cas de divergence, des investigations complémentaires sont nécessaires (Directive LACI IC, D76).</w:t>
      </w:r>
    </w:p>
    <w:p>
      <w:r>
        <w:rPr>
          <w:b/>
        </w:rPr>
        <w:t>E. 9</w:t>
      </w:r>
    </w:p>
    <w:p>
      <w:r>
        <w:t>En l’espèce, le recourant fait valoir que son licenciement est abusif car il résulte du fait qu’il a fait valoir son droit au salaire, ce qui est confirmé par la convention signée le 1er juin 2022. L’intimée estime de son côté que la rupture des rapports de travail résulte de violations répétées de son devoir de loyauté, au non-respect des horaires de travail et du règlement de planification des équipes. Il est également reproché au recourant de ne pas s’être présenté sur son lieu de travail à plusieurs reprises sans excuse valable et avoir refusé de fournir sa prestation de travail.</w:t>
      </w:r>
    </w:p>
    <w:p>
      <w:r>
        <w:rPr>
          <w:b/>
        </w:rPr>
        <w:t>E. 10</w:t>
      </w:r>
    </w:p>
    <w:p>
      <w:r>
        <w:t>En l’occurrence, il est établi que le recourant a été licencié par courrier du 17 janvier 2022, licenciement auquel il s’est opposé dans le délai de congé, lequel respecte le terme fixé par le contrat de travail en son art. 2. Sur interpellation de l’intimée, l’employeur a indiqué que le recourant avait été licencié pour non-respect des horaires de travail prévus, il ne s’était notamment pas présenté au travail entre le 25 et 29 octobre 2021, le manquement s’était reproduit le 28 décembre 2021. Les 29 et 30 décembre 2021, le recourant s’était présenté, mais avait refusé de travailler. L’assuré avait reçu un avertissement, mais n’avait pas explicitement été informé d’un éventuel licenciement. Ce dernier mentionne le non-respect du devoir de loyauté et son indifférence du règlement de planification des équipes.</w:t>
      </w:r>
    </w:p>
    <w:p>
      <w:r>
        <w:t>A/4106/2023 - 12/15 - À ce stade, il sied de relever que l’avertissement aurait été envoyé par mail, les versions des parties divergent quant à la date de sa notification, ce point n’a cependant pas été instruit par l’intimée. Le recourant justifie son comportement par les retards réitérés quant au versement de son salaire. Sur la base des éléments à disposition, il sera retenu que les salaires de janvier et février 2021 n’ont été versés que fin mars 2021, ce qui n’est pas contesté, étant précisé que le retard de paiement n’a nullement été motivé par l’employeur. Il sera noté que l’employeur a admis que le retard de paiement aurait pu favoriser le comportement du recourant. Comme le relève à juste titre le recourant, il s’agit d’une violation par l’employeur d’une de ses obligations relevant du contrat de travail. Toutefois, l’employeur a indiqué que le recourant ne s’était pas présenté à son travail du 25 au 29 octobre 2021. Celui-ci n’a ni infirmé ni confirmé ce point faisant uniquement valoir que le dossier ne contenait aucun élément de preuve quant à cette absence. À cette époque, il n’est pas allégué de retard de paiement quant au salaire. La caisse n’a pas sollicité de preuve pour vérifier l’éventuelle absence durant cette période, qui serait le cas échéant non motivée. S’agissant du mois de décembre 2021, le recourant admet ne pas s’être présenté le 28 décembre 2021, s’être présenté les 29 et 30 décembre 2021 mais avoir refusé de travailler tant qu’il n’avait pas reçu son salaire. Par l’intermédiaire de son représentant, il a été reconnu par courriel du 14 janvier 2022 que son comportement avait pu poser problème à son employeur. Le contrat de travail prévoit à son art. 5, 2ème paragraphe, que le salaire est réglé au plus tard le dernier jour du mois en question. Le salaire dont il est annoncé par le recourant qu’il a été versé le 30 décembre 2021 l’aurait été dans les délais contractuels. Cependant, le recourant allègue que tous les coursiers avaient été payés le 22 décembre 2021, raison pour laquelle il a fait valoir son droit au paiement du salaire. Aucun élément n’a cependant été produit sur ce point et la caisse n’a procédé à aucune investigation. Le recourant indique avoir pris contact avec les ressources humaines en leur écrivant trois courriers, puis appelé son supérieur. À défaut de réaction et n’ayant d’autre moyen de faire valoir ses droits, en dernier recours, il ne s’était pas présenté le 28 décembre, puis avait refusé d’offrir sa</w:t>
      </w:r>
    </w:p>
    <w:p>
      <w:r>
        <w:t>A/4106/2023 - 13/15 - prestation de travail tant qu’il n’avait pas reçu son salaire pour faire valoir ses droits. Lesdits courriers qui pourraient clarifier les circonstances de l’époque n’ont été ni produits, ni réclamés par l’intimée. Au vu de ce qui précède, l’instruction a été lacunaire s’agissant des circonstances entourant les mois d’octobre et décembre 2021. S’agissant de la convention signée le 1er juin 2022, cette dernière ne permet pas de retenir à elle seule que le licenciement a été reconnu comme abusif. À ce stade, il sied de relever que les propos du recourant sont contradictoires. En effet, d’une part, il fait état d’une situation claire, mais indique qu’il a accepté une convention dont le montant est inférieur à ses prétentions compte tenu de l’issue « totalement incertaine » de la procédure. Il faut également souligner que l’engagement de l’employeur a été fait sans reconnaissance d’une quelconque obligation légale. Par ailleurs, contrairement aux allégations du recourant, la demande de conciliation déposée à l’encontre de son employeur faisait certes valoir une indemnité pour licenciement abusif, mais également plusieurs prestations salariales (travail du dimanche, heures sous-payées, …). En outre, la convention soumet notamment la somme accordée aux cotisations sociales. Or, selon le chiffre 2097-1/23, 2ème paragraphe du 2ème tiret, des Directives sur le salaire déterminant dans l’AVS, AI et APG, les indemnités pour résiliation abusive de l’art. 336a, al. 2 CO fixées par le juge ne font pas partie du salaire déterminant. Une indemnité résultant d’une transaction judiciaire ou extrajudiciaire n’est exceptée du salaire déterminant que si la documentation présentée à la caisse de compensation ne laisse place à aucun doute qu’il s’agit exclusivement d’une telle indemnité et qu’elle ne comprend pas d’autres créances et que le montant de l’indemnité est clairement établi. La soumission de la somme aux cotisations sociales, étant précisé qu’un montant net a effectivement été versé par l’employeur, irait plutôt à l’encontre de la qualification d’indemnité pour licenciement abusif. Le contenu de la convention ne permet dès lors pas de trancher de la nature du licenciement. À cela s’ajoute, comme le relève le recourant, que l’intimée a écrit le 28 juillet 2022 à l’employeur pour avoir les preuves de timbrages et du non-respect des obligations contractuelles mentionnées dans l’avertissement du 29 décembre 2021.</w:t>
      </w:r>
    </w:p>
    <w:p>
      <w:r>
        <w:t>A/4106/2023 - 14/15 - Il est en effet important de clarifier les manquements reprochés au recourant ayant conduit à l’avertissement et au licenciement selon les déclarations de l’employeur, ce afin de déterminer si le chômage est fautif ou non. Ainsi, de l’avis même de l’intimée, compte tenu des versions divergentes, l’instruction devait être complétée. L’employeur n’a pas répondu. La caisse ne l’a pas relancé et a statué sur la base d’un dossier incomplet. Il y a lieu de constater que la décision et la décision sur opposition ont été rendues au terme d'une instruction lacunaire, plusieurs éléments essentiels n’ayant pas été instruits. Au vu de ce qui précède, compte tenu des importants points à élucider, la cause sera renvoyée à l’intimée pour instruction complémentaire et nouvelle décision. Un renvoi à l’administration se justifie d’autant plus que l’intimée a insuffisamment instruit le dossier.</w:t>
      </w:r>
    </w:p>
    <w:p>
      <w:r>
        <w:rPr>
          <w:b/>
        </w:rPr>
        <w:t>E. 11</w:t>
      </w:r>
    </w:p>
    <w:p>
      <w:r>
        <w:t>Au vu de ce qui précède, le recours est partiellement admis, la décision litigieuse annulée, et la cause renvoyée à l'intimée afin qu'elle procède conformément aux considérants. Le recourant, représenté,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1'500.-. En l’absence de loi spéciale prévoyant des frais judiciaires, la procédure est gratuite (art. 61 let. fbis LPGA a contrario).</w:t>
      </w:r>
    </w:p>
    <w:p>
      <w:r>
        <w:t>A/4106/2023 - 15/15 -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