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ATAS/558/2022 vom 9. Juni 2022</w:t>
      </w:r>
    </w:p>
    <w:p>
      <w:r>
        <w:t>GE Cour de justice, 2022-06-09, FR</w:t>
      </w:r>
    </w:p>
    <w:p>
      <w:r>
        <w:rPr>
          <w:b/>
        </w:rPr>
        <w:t xml:space="preserve">Quelle: </w:t>
      </w:r>
      <w:r>
        <w:t>https://mcp.opencaselaw.ch/entscheid/ge_gerichte_ATAS_558_2022</w:t>
      </w:r>
    </w:p>
    <w:p>
      <w:r>
        <w:t>FR: GE_GERICHTE ATAS/558/2022 du 9 juin 2022</w:t>
      </w:r>
    </w:p>
    <w:p>
      <w:r>
        <w:t>IT: GE_GERICHTE ATAS/558/2022 del 9 giugno 2022</w:t>
      </w:r>
    </w:p>
    <w:p>
      <w:pPr>
        <w:pStyle w:val="Heading2"/>
      </w:pPr>
      <w:r>
        <w:t>Erwägungen</w:t>
      </w:r>
    </w:p>
    <w:p>
      <w:r>
        <w:rPr>
          <w:b/>
        </w:rPr>
        <w:t>E. 1</w:t>
      </w:r>
    </w:p>
    <w:p>
      <w:r>
        <w:t>La Cour de céans a déjà admis sa compétence et la recevabilité du recours dans son ordonnance du 7 juin 2021, à laquelle il suffit de renvoyer sur ces points.</w:t>
      </w:r>
    </w:p>
    <w:p>
      <w:r>
        <w:rPr>
          <w:b/>
        </w:rPr>
        <w:t>E. 2</w:t>
      </w:r>
    </w:p>
    <w:p>
      <w:r>
        <w:t>On précisera encore que la modification du 21 juin 2019 de la LPGA est entrée en vigueur le 1er janvier 2021. Dans la mesure où le recours déjà pendant à cette date, il reste cependant soumis à l’ancien droit (art. 82a LPGA a contrario). Quant aux modifications de la LAI du 19 juin 2020,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Le litige porte sur la question de savoir si l'état de santé de l'assuré s'est aggravé depuis la décision du 15 mai 2017 dans une mesure lui ouvrant le droit à une rente.</w:t>
      </w:r>
    </w:p>
    <w:p>
      <w:r>
        <w:t>A/1825/2019 - 10/17 -</w:t>
      </w:r>
    </w:p>
    <w:p>
      <w:r>
        <w:rPr>
          <w:b/>
        </w:rPr>
        <w:t>E. 4</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 du Tribunal fédéral 9C_860/2015 du 1er juin 2016 consid. 4.3).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 Une simple appréciation différente d'un état de fait, qui, pour l'essentiel, est demeuré inchangé n'appelle en revanche pas à une révision au sens de l'art. 17 LPGA (ATF 112 V 371 consid. 2b ; arrêt du Tribunal fédéral 9C_818/2015 du 22 mars 2016 consid. 2.2). Les conditions de la révision au sens de l’art. 17 LPGA s’appliquent également par analogie dans le cas où la personne assurée présente une nouvelle demande de prestations de l’assurance-invalidité après qu’une demande antérieure a été rejetée (Margit MOSER-SZELESS in Commentaire romand LPGA, 2018, n. 10 ad art. 17 LPGA).</w:t>
      </w:r>
    </w:p>
    <w:p>
      <w:r>
        <w:t>A/1825/2019 - 11/17 -</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A/1825/2019 - 12/17 -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relativement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w:t>
      </w:r>
    </w:p>
    <w:p>
      <w:r>
        <w:t>A/1825/2019 - 13/17 -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A/1825/2019 - 14/17 -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8</w:t>
      </w:r>
    </w:p>
    <w:p>
      <w:r>
        <w:t>Dans un arrêt de 2017, le Tribunal fédéral a étendu la jurisprudence précitée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t>A/1825/2019 - 15/17 -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En l’espèce, la Cour de céans a déjà écarté l’existence d’une atteinte physique invalidante, au vu de l’expertise du Dr L______ à laquelle elle a reconnu valeur probante. Il n’existe pas de motif de revenir sur cette appréciation. Le certificat du Dr G______ du 4 février 2019 n’y suffit en particulier pas, dès lors qu’aucun nouveau diagnostic n’y est mentionné et qu’il n’est guère motivé. On rappellera au sujet des douleurs mentionnées par le Dr G______ que, dans le but d'assurer une égalité de traitement entre les assurés et compte tenu des difficultés, en matière de preuve, à établir l'existence de douleurs, le droit à des prestations de l'assurance sociale suppose que l'allégation de douleurs soit corrélée à des observations médicales concluantes (arrêt du Tribunal fédéral 8C_755/2020 du 19 avril 2021 consid. 4.4). Sur le plan psychique, le Dr N______ a établi une expertise qui contient tous les éléments nécessaires selon la jurisprudence, puisqu’elle repose sur l’étude du dossier, complétée par des entretiens avec les psychiatres traitants, une anamnèse fouillée et un examen clinique. Les plaintes du recourant ont été prises en considération et les diagnostics retenus sont soigneusement motivés. De plus, le Dr N______ a analysé l’incidence du trouble somatoforme douloureux à l’aune des indicateurs dégagés par la jurisprudence et rappelés ci-dessus. Il s’est en effet prononcé sur le degré de gravité du trouble, l’absence de succès des traitements somatiques, la personnalité du recourant – en particulier les traits anankastiques – et son contexte social. Tout en admettant que le recourant surestimait ses limitations, il a exclu un défaut de cohérence dès lors que lesdites limitations se manifestaient avec la même intensité dans les différents domaines de la vie. Force est ainsi de reconnaître une pleine valeur probante à cette expertise, à laquelle l’intimé s’est également rallié, à l’instar du SMR. La Cour de céans n’a ainsi aucun motif de s’écarter des conclusions du Dr N______, selon lesquelles le recourant présente, depuis la fin des rapports de travail, le 1er janvier 2019, une incapacité de travail durable de 50% dans une activité adaptée à ses compétences. Le recourant ne peut être suivi lorsqu’il affirme que son incapacité de travail remonte à mars 2017. En effet, les arrêts de travail étaient alors attestés par le Dr G______ pour des motifs somatiques, alors même qu’une atteinte de cet ordre a</w:t>
      </w:r>
    </w:p>
    <w:p>
      <w:r>
        <w:t>A/1825/2019 - 16/17 - été exclue de manière probante par le Dr L______, comme on l’a vu. Ces arrêts de travail ne sont d’ailleurs pas motivés. De plus, à cette époque, la Dresse M______ admettait que l’atteinte psychique n’entravait pas directement la capacité de gain du recourant. La date retenue par le Dr N______ est du reste motivée, l’expert l’expliquant par la fin du contrat de travail, en ce sens que le recourant se considérait dès cette date comme inapte à la reprise d’une activité lucrative, alors que les incapacités de travail attestées jusque-là n’étaient pas définitives. Son anamnèse a également révélé que le recourant avait connu une très importante baisse de moral à la cessation de son activité. Ces deux éléments apparaissent pertinents du point de vue de l’analyse des indicateurs applicables, de sorte que la conclusion de l’expert psychiatre quant à la date de survenance d’une incapacité de travail durable est convaincante et ne prête pas flanc à la critique. Compte tenu de cette incapacité de travail survenue le 1er janvier 2019, le délai de carence d’une année prévu à l’art. 28 LAI dans la teneur applicable au présent litige s’est achevé le 31 décembre 2019. Le droit à la rente naît ainsi le 1er janvier 2020. S’agissant du degré d’invalidité, il se confond avec le taux d’incapacité de travail, dès lors que le recourant conserve une capacité de travail résiduelle de 50% dans son activité habituelle (cf. arrêt du Tribunal fédéral 9C_692/2017 du 12 mars 2018 consid. 5). Le recourant a ainsi droit à une demi-rente d’invalidité dès le 1er janvier 2020.</w:t>
      </w:r>
    </w:p>
    <w:p>
      <w:r>
        <w:rPr>
          <w:b/>
        </w:rPr>
        <w:t>E. 10</w:t>
      </w:r>
    </w:p>
    <w:p>
      <w:r>
        <w:t>Le recours est partiellement admis. Le recourant a droit à des dépens, qui seront fixés à CHF 2'500.- (art. 61 let. g LPGA). La procédure en matière de contestations portant sur des prestations de l’assurance- invalidité n’étant pas gratuite (art. 69 al. 1bis LAI), l’intimé supporte l’émolument de procédure de CHF 200.-</w:t>
      </w:r>
    </w:p>
    <w:p>
      <w:r>
        <w:t>A/1825/2019 - 17/17 -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