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ATAS/558/2010 vom 25. Mai 2010</w:t>
      </w:r>
    </w:p>
    <w:p>
      <w:r>
        <w:t>GE Cour de justice, 2010-05-25, FR</w:t>
      </w:r>
    </w:p>
    <w:p>
      <w:r>
        <w:rPr>
          <w:b/>
        </w:rPr>
        <w:t xml:space="preserve">Quelle: </w:t>
      </w:r>
      <w:r>
        <w:t>https://mcp.opencaselaw.ch/entscheid/ge_gerichte_ATAS_558_2010</w:t>
      </w:r>
    </w:p>
    <w:p>
      <w:r>
        <w:t>FR: GE_GERICHTE ATAS/558/2010 du 25 mai 2010</w:t>
      </w:r>
    </w:p>
    <w:p>
      <w:r>
        <w:t>IT: GE_GERICHTE ATAS/558/2010 del 25 maggio 2010</w:t>
      </w:r>
    </w:p>
    <w:p>
      <w:pPr>
        <w:pStyle w:val="Heading2"/>
      </w:pPr>
      <w:r>
        <w:t>Regeste</w:t>
      </w:r>
    </w:p>
    <w:p>
      <w:r>
        <w:t>Résumé: En principe, selon la jurisprudence, le travailleur sur appel ne subit pas de perte de travail, respectivement pas de perte de gain à prendre en considération lorsqu'il n'est pas appelé (cas d'un vacataire HES).</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A/4469/2009 - 5/10 - 335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Quant aux règles de procédure, elles sont applicables, sauf dispositions transitoires contraires, à tous les cas en cours dès l'entrée en vigueur de la LPGA (ATF 131 V 314 consid. 3.3, 117 V 93 consid. 6b, 112 V 360 consid. 4a; RAMA 1998 KV 37 p. 316 consid. 3b).</w:t>
      </w:r>
    </w:p>
    <w:p>
      <w:r>
        <w:rPr>
          <w:b/>
        </w:rPr>
        <w:t>E. 3</w:t>
      </w:r>
    </w:p>
    <w:p>
      <w:r>
        <w:t>Pour les mêmes motifs, les dispositions de la novelle du 22 mars 2002 modifiant la LACI (3ème révision), entrée en vigueur le 1er juillet 2003 (RO 2003 1728), ainsi que les dispositions de l'OACI modifiées le 28 mai 2003, entrées en vigueur le 1er juillet 2003 également (RO 2003 1828), ayant entraîné un certain nombre de modifications en matière d'indemnisation en cas d'insolvabilité (voir art. 52 al. 1, 55 al. 2 et 58 LACI) sont applicables.</w:t>
      </w:r>
    </w:p>
    <w:p>
      <w:r>
        <w:rPr>
          <w:b/>
        </w:rPr>
        <w:t>E. 4</w:t>
      </w:r>
    </w:p>
    <w:p>
      <w:r>
        <w:t>Interjeté dans les forme et délai prescrits par la loi, le recours est recevable (art. 56 à 60 LPGA).</w:t>
      </w:r>
    </w:p>
    <w:p>
      <w:r>
        <w:rPr>
          <w:b/>
        </w:rPr>
        <w:t>E. 5</w:t>
      </w:r>
    </w:p>
    <w:p>
      <w:r>
        <w:t>Le litige porte sur le droit du recourant à des indemnités de l'assurance-chômage.</w:t>
      </w:r>
    </w:p>
    <w:p>
      <w:r>
        <w:rPr>
          <w:b/>
        </w:rPr>
        <w:t>E. 6</w:t>
      </w:r>
    </w:p>
    <w:p>
      <w:r>
        <w:t>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(arrêt du 29 août 2005 dans la cause C 163/04). Bien que cette disposition soit conçue pour l’indemnité en cas de réduction de l’horaire de travail, elle a également un impact sur l’indemnité de chômage.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w:t>
      </w:r>
    </w:p>
    <w:p>
      <w:r>
        <w:t>A/4469/2009 - 6/10 -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 participation financière dans une fonction dirigeante (cf. ATF 123 V 234 consid. 7b/bb, ATF 120 V 521; bulletin MT/AC 2003/4 fiche 4/1). Si des indices permettent à la caisse de supposer que l’assuré occupe une position comparable à celle d’un employeur, elle doit notamment exiger un extrait du RC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à des indemnités de chômage (ATF 123 V 238 consid. 7b/bb; SVR 2001 ALV n° 14 pp. 41-42 consid. 2a; DTA 2003 n° 22 p. 241 consid. 2).</w:t>
      </w:r>
    </w:p>
    <w:p>
      <w:r>
        <w:rPr>
          <w:b/>
        </w:rPr>
        <w:t>E. 7</w:t>
      </w:r>
    </w:p>
    <w:p>
      <w:r>
        <w:t>En l’occurrence, durant les deux ans précédant sa demande d’indemnités de chômage, soit du 3 août 2007 au 2 août 2009, le recourant allègue avoir travaillé auprès de la société à 100% jusqu’au 31 décembre 2007, puis à 20%. Il sollicite dès</w:t>
      </w:r>
    </w:p>
    <w:p>
      <w:r>
        <w:t>A/4469/2009 - 7/10 - lors l’octroi d’indemnités de chômage pour la perte de travail correspondant au 80%. Le Tribunal de céans relèvera que la société, créée par le recourant le 15 juillet 2003, n’a pas cessé d’exister. De plus, le recourant en est toujours l’associé-gérant unique, avec signature individuelle. Cette circonstance permet déjà, à elle seule, d'exclure le droit du recourant aux indemnités de chômage. En effet, l'inscription de l'assuré au Registre du commerce (comme organe de la société) constitue un critère aisément vérifiable et important pour déterminer si une personne ayant une position assimilable à celle d'un employeur a droit à l'indemnité de chômage (ATFA non publié du 20 janvier 2006, C 207/04, consid. 3.3). Qui plus est, le recourant a, à plusieurs reprises, rappelé que son but est de relancer les affaires de la société dès que possible. De par sa position particulière et ses intentions, le recourant peut dès lors exercer une influence sur la perte de travail qu'il subit, ce qui rend justement son chômage difficilement contrôlable. Le fait que le recourant se dise obligé de garder la société car celle-ci lui doit 108'000 fr. ne saurait, quoi qu’il en soit, justifier que l’on s’écarte de la jurisprudence rigoureuse en la matière. Force est dès lors de constater qu'il y a donc bien un risque d'abus, lequel suffit à nier le droit à l’indemnité de chômage.</w:t>
      </w:r>
    </w:p>
    <w:p>
      <w:r>
        <w:rPr>
          <w:b/>
        </w:rPr>
        <w:t>E. 8</w:t>
      </w:r>
    </w:p>
    <w:p>
      <w:r>
        <w:t>Quand bien même le recourant ne l’invoque pas, il y a lieu de déterminer s’il subit une perte de travail en raison de son activité auprès de l’Etat de Genève exercée dès le 5 novembre 2008. Selon l’art. 11 LACI, il y a lieu de prendre en considération la perte de travail lorsqu’elle se traduit par un manque à gagner et dure au moins deux journées de travail consécutives (al. 1er). À cet égard, l’art. 4 al. 1er de l’ordonnance sur l'assurance-chômage obligatoire et l'indemnité en cas d'insolvabilité, du 31 août 1983 (Ordonnance sur l’assurance-chômage, OACI ; RS 837.02) précise qu’est réputée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On détermine en règle générale s'il y a perte de travail à prendre en considération selon le critère de l'horaire habituel dans l'activité concernée et le cas particulier. Cela étant, en cas de convention particulière, c'est cet horaire de travail qui est déterminant. Dans un contrat de travail sur appel, les parties conviennent que le temps de travail dépend du volume du travail, c’est-à-dire que le travailleur est occupé au cas par</w:t>
      </w:r>
    </w:p>
    <w:p>
      <w:r>
        <w:t>A/4469/2009 - 8/10 -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circulaire du SECO relative à l’indemnité de chômage de janvier 2007 [ci-après : IC 2007],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de la circulaire IC 2007,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Enfin, en dessous de six mois d’occupation, il paraît très difficile de déterminer de manière probante ce que représente le temps de travail normal (RUBIN, Assurance-chômage, Perte de travail à prendre en considération, in Swisslex ; cf. chiffre B96 IC 2007 : « En dessous de six mois d’occupation, il est impossible de déterminer le temps de travail normal »).</w:t>
      </w:r>
    </w:p>
    <w:p>
      <w:r>
        <w:rPr>
          <w:b/>
        </w:rPr>
        <w:t>E. 9</w:t>
      </w:r>
    </w:p>
    <w:p>
      <w:r>
        <w:t>En l’espèce, il ressort de l’attestation établie le 28 août 2009 par l’Office du personnel de l’Etat de Genève que le recourant est employé sur appel en qualité de vacataire HES depuis le 5 novembre 2008. En ce qui concerne le temps de travail</w:t>
      </w:r>
    </w:p>
    <w:p>
      <w:r>
        <w:t>A/4469/2009 - 9/10 - fourni, il apparaît qu’au moment de l’inscription au chômage, le 3 août 2009, les rapports de travail avaient duré 9 mois, ce qui correspond à un taux plafond des fluctuations admises de 15% (20% / 12 x 9). Or, les variations mensuelles de salaire par rapport au salaire moyen de la période précédant l’annonce au chômage, s’avèrent supérieures à 15%. En effet, les décomptes de salaires établis par l’employeur laissent apparaître les montants suivants : 8'482 fr. 50 en février 2009, 2'743 fr. 25 en mars 2009, 806 fr. 70 en mai 2009 et 2'222 fr. 20 en août 2009 (pièce 14 intimée). Il s’ensuit qu’aucune perte de travail ne peut être prise en compte s’agissant de l’activité déployée par le recourant auprès de l’Etat de Genève.</w:t>
      </w:r>
    </w:p>
    <w:p>
      <w:r>
        <w:rPr>
          <w:b/>
        </w:rPr>
        <w:t>E. 10</w:t>
      </w:r>
    </w:p>
    <w:p>
      <w:r>
        <w:t>Eu égard aux considérations qui précèdent, le recours doit être rejeté.</w:t>
      </w:r>
    </w:p>
    <w:p>
      <w:r>
        <w:t>A/4469/2009 - 10/10 -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