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ATAS/558/2008 vom 22. November 2007</w:t>
      </w:r>
    </w:p>
    <w:p>
      <w:r>
        <w:t>GE Cour de justice, 2007-11-22, FR</w:t>
      </w:r>
    </w:p>
    <w:p>
      <w:r>
        <w:rPr>
          <w:b/>
        </w:rPr>
        <w:t xml:space="preserve">Quelle: </w:t>
      </w:r>
      <w:r>
        <w:t>https://mcp.opencaselaw.ch/entscheid/ge_gerichte_ATAS_558_2008</w:t>
      </w:r>
    </w:p>
    <w:p>
      <w:r>
        <w:t>FR: GE_GERICHTE ATAS/558/2008 du 22 novembre 2007</w:t>
      </w:r>
    </w:p>
    <w:p>
      <w:r>
        <w:t>IT: GE_GERICHTE ATAS/558/2008 del 22 novembre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12 juillet 1996, d’autre part le 15 janvier 2008, date à laquelle le jugement de divorce est devenu exécutoire.</w:t>
      </w:r>
    </w:p>
    <w:p>
      <w:r>
        <w:rPr>
          <w:b/>
        </w:rPr>
        <w:t>E. 3</w:t>
      </w:r>
    </w:p>
    <w:p>
      <w:r>
        <w:t>Selon les documents produits, la prestation acquise pendant le mariage par le demandeur s'élève à 26'444 fr. tandis que la demanderesse n'a pas cotisé au 2ème pilier durant le mariage. Ainsi c'est le demandeur qui doit à son ex-épouse le montant de 13'222 fr. (26'444.-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A/272/2008 4/5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A/272/2008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