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ATAS/557/2020 vom 30. Juni 2020</w:t>
      </w:r>
    </w:p>
    <w:p>
      <w:r>
        <w:t>GE Cour de justice, 2020-06-30, FR</w:t>
      </w:r>
    </w:p>
    <w:p>
      <w:r>
        <w:rPr>
          <w:b/>
        </w:rPr>
        <w:t xml:space="preserve">Quelle: </w:t>
      </w:r>
      <w:r>
        <w:t>https://mcp.opencaselaw.ch/entscheid/ge_gerichte_ATAS_557_2020</w:t>
      </w:r>
    </w:p>
    <w:p>
      <w:r>
        <w:t>FR: GE_GERICHTE ATAS/557/2020 du 30 juin 2020</w:t>
      </w:r>
    </w:p>
    <w:p>
      <w:r>
        <w:t>IT: GE_GERICHTE ATAS/557/2020 del 30 giugno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Interjeté dans les forme et délai légaux, le recours est recevable (art. 56 al. 1 et 60 al. 1 LPGA; art. 9 de la loi cantonale du 14 octobre 1965 sur les prestations fédérales complémentaires à l’assurance-vieillesse et survivants et à l’assurance- invalidité [LPFC; J 4 20]; art. 43 LPCC).</w:t>
      </w:r>
    </w:p>
    <w:p>
      <w:r>
        <w:rPr>
          <w:b/>
        </w:rPr>
        <w:t>E. 4</w:t>
      </w:r>
    </w:p>
    <w:p>
      <w:r>
        <w:t>Le litige porte sur la question de savoir si c’est à juste titre que l’intimé a requis de la recourante la restitution des prestations complémentaires, tant dans son principe que dans la quotité, pour la période courant du 1er février 2014 au 30 novembre 2019.</w:t>
      </w:r>
    </w:p>
    <w:p>
      <w:r>
        <w:rPr>
          <w:b/>
        </w:rPr>
        <w:t>E. 5</w:t>
      </w:r>
    </w:p>
    <w:p>
      <w:r>
        <w:t>S'agissant des prestations complémentaires fédérales, selon l'art. 25 al. 1 1ère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L'obligation de restituer suppose aujourd'hui encore, conformément à la jurisprudence rendue à propos des anciens articles 47 al. 1 de la loi fédérale sur l'assurance-vieillesse et survivants, du 20 décembre 1946 (LAVS; RS 831.10) ou 95 de la loi fédérale sur l'assurance-chômage obligatoire et l'indemnité en cas d'insolvabilité, du 25 juin 1982 (LACI; RS 837.0) (p. ex. ATF 129 V 110 consid. 1.1; ATF 126 V 23 consid. 4b et ATF 122 V 19 consid. 3a), que soient remplies les conditions d'une reconsidération ou d'une révision procédurale de la décision -</w:t>
      </w:r>
    </w:p>
    <w:p>
      <w:r>
        <w:t>A/399/2020 - 4/8 -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n’est pas liée à une violation de l'obligation de renseigner (ATF 122 V 134 consid. 2e). Il s'agit simplement de rétablir l'ordre légal après la découverte du fait nouveau (arrêt du Tribunal fédéral 8C_120/2008 du 4 septembre 2008 consid. 3.1). Selon l'art. 3 al. 1 OPGA, l’étendue de l’obligation de restituer est fixée par une décision.</w:t>
      </w:r>
    </w:p>
    <w:p>
      <w:r>
        <w:rPr>
          <w:b/>
        </w:rPr>
        <w:t>E. 6</w:t>
      </w:r>
    </w:p>
    <w:p>
      <w:r>
        <w:t>Au niveau cantonal, l'art. 24 al. 1 1ère phrase LPCC prévoit que les prestations indûment touchées doivent être restituées.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w:t>
      </w:r>
    </w:p>
    <w:p>
      <w:r>
        <w:rPr>
          <w:b/>
        </w:rPr>
        <w:t>E. 7</w:t>
      </w:r>
    </w:p>
    <w:p>
      <w:r>
        <w:t>En vertu de l'art. 25 al. 2 1ère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ATF 128 V 10 consid. 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w:t>
      </w:r>
    </w:p>
    <w:p>
      <w:r>
        <w:t>A/399/2020 - 5/8 -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 A titre d'exemple, le Tribunal fédéral a considéré dans le cas de la modification des bases de calcul d'une rente par une caisse de compensation à la suite d'un divorce qu'un délai d'un mois pour rassembler les comptes individuels de l'épouse était largement suffisant (SVR 2004 IV N°41, consid. 4.3). A défaut de mise en œuvre des investigations, le début du délai de péremption doit être fixé au moment où l’administration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(ATF 133 V 579 consid. 5.1. non publié).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w:t>
      </w:r>
    </w:p>
    <w:p>
      <w:r>
        <w:rPr>
          <w:b/>
        </w:rPr>
        <w:t>E. 8</w:t>
      </w:r>
    </w:p>
    <w:p>
      <w:r>
        <w:t>a.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conformément à l'art. 4 al. 1 let. a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11 al. 1 LPC, les revenus déterminants comprennent notamment les rentes, pensions et autres prestations périodiques, y compris les rentes de l’AVS et de l’AI (let. d). b.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correspondant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w:t>
      </w:r>
    </w:p>
    <w:p>
      <w:r>
        <w:t>A/399/2020 - 6/8 -</w:t>
      </w:r>
    </w:p>
    <w:p>
      <w:r>
        <w:rPr>
          <w:b/>
        </w:rPr>
        <w:t>E. 9</w:t>
      </w:r>
    </w:p>
    <w:p>
      <w:r>
        <w:t>a. Cela étant, selon l’art. 25 al. 1 OPC-AVS/AI, la prestation complémentaire annuelle doit être augmentée, réduite ou supprimée lors de chaque modification de la rente de l’assurance-vieillesse et survivants ou de l’assurance-invalidité (let. b), lorsque les dépenses reconnues, les revenus déterminants et la fortune subissent une diminution ou une augmentation pour une durée qui sera vraisemblablement longue (let. c), lorsque, lors d’un contrôle périodique, l’on constate un changement des dépenses reconnues, des revenus déterminants et de la fortune; on pourra renoncer à rectifier la prestation complémentaire annuelle, lorsque la modification est inférieure à 120 francs par an (let. d). b. Selon l’art. 25 al. 2 aOPC-AVS/AI et OPC-AVS/AI, la nouvelle décision doit porter effet, dans les cas prévus par l’al. 1 let. d,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(let. d).</w:t>
      </w:r>
    </w:p>
    <w:p>
      <w:r>
        <w:rPr>
          <w:b/>
        </w:rPr>
        <w:t>E. 10</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En l’espèce, il est établi et non contesté que la recourante bénéficie d’une rente de la sécurité sociale allemande dont l’intimé n’a pas tenu compte dans ses calculs précédents. C’est dès lors à juste titre que le SPC a procédé à la rectification de ses calculs. A ce stade, peu importe que la recourante ait été ou non de bonne foi. Cet élément sera en revanche pertinent dans le cadre de l’examen de la demande de remise de l’obligation de restituer d’ores et déjà déposée. On relèvera néanmoins que la recourante n’apporte pas la preuve qu’elle aurait avisé l’intimé du résultat positif</w:t>
      </w:r>
    </w:p>
    <w:p>
      <w:r>
        <w:t>A/399/2020 - 7/8 - des démarches dont elle l’avait informé, pas plus que du montant que lui avait finalement alloué l’Allemagne. S’agissant des calculs opérés par l’intimé, le litige se limite à la question du taux de conversion appliqué. A cet égard, il convient de se référer aux explications claires déjà fournies par l’intimé à la recourante, à savoir que le taux de conversion des d’Euros en Francs suisses applicable est, conformément aux directives concernant les prestations à l'AVS et à l'AI édictées par l'Office fédéral des assurances sociales, celui du cours du jour publié par la Banque centrale européenne (BCE). Est déterminant le premier cours du jour disponible du mois précédant immédiatement le début du droit à la prestation. En l'espèce, le SPC a initié une révision périodique du dossier en août 2019. Sur la base des justificatifs reçus en septembre et octobre 2019, il a pris en compte dans le calcul des prestations le montant de la rente étrangère calculé comme suit : EUR 92,27 (versement compte UBS au 31 juillet 2019) x 12 mois x 1,1227 (taux de change de la BCE d'Euros en Francs suisses au 31 décembre 2018 applicable en 2019) = CHF 1'243.10 : 12 mois = CHF 103.59 arrondis à CHF 103.60). Ce montant a été déduit des prestations telles que précédemment calculées, soit CHF 1'848.-, ce qui a conduit au nouveau montant de prestations : CHF 1'745.-. Les calculs opérés par l’intimé, l’ont été de manière tout à fait correcte. Eu égard aux considérations qui précèdent, le recours, manifestement infondé, est rejeté. Pour le surplus, la procédure est gratuite (art. 61 let. a LPGA).</w:t>
      </w:r>
    </w:p>
    <w:p>
      <w:r>
        <w:t>A/399/2020 - 8/8 -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