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ATAS/557/2015 vom 15. Juli 2015</w:t>
      </w:r>
    </w:p>
    <w:p>
      <w:r>
        <w:t>GE Cour de justice, 2015-07-15, FR</w:t>
      </w:r>
    </w:p>
    <w:p>
      <w:r>
        <w:rPr>
          <w:b/>
        </w:rPr>
        <w:t xml:space="preserve">Quelle: </w:t>
      </w:r>
      <w:r>
        <w:t>https://mcp.opencaselaw.ch/entscheid/ge_gerichte_ATAS_557_2015</w:t>
      </w:r>
    </w:p>
    <w:p>
      <w:r>
        <w:t>FR: GE_GERICHTE ATAS/557/2015 du 15 juillet 2015</w:t>
      </w:r>
    </w:p>
    <w:p>
      <w:r>
        <w:t>IT: GE_GERICHTE ATAS/557/2015 del 15 luglio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rPr>
          <w:b/>
        </w:rPr>
        <w:t>E. 3</w:t>
      </w:r>
    </w:p>
    <w:p>
      <w:r>
        <w:t>L’objet du litige consiste à déterminer si l’intimé était fondé à prononcer une suspension de cinq jours du droit à l’indemnité du recourant, motif pris qu'il n'avait pas remis en temps utile les justificatifs de recherches d'emploi pour le mois de décembre 2014.</w:t>
      </w:r>
    </w:p>
    <w:p>
      <w:r>
        <w:rPr>
          <w:b/>
        </w:rPr>
        <w:t>E. 4</w:t>
      </w:r>
    </w:p>
    <w:p>
      <w:r>
        <w:t>a) L’assuré qui fait valoir des prestations d’assurance doit entreprendre tout ce qu’on peut raisonnablement exiger de lui pour éviter le chômage ou l’abréger. Il doit pouvoir apporter la preuve des efforts qu’il a fournis (art. 17 al. 1 LACI). Selon l'art. 26 al. 2 OACI,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Le Tribunal fédéral a admis la conformité de cette nouvelle disposition à la loi (ATF 139 V 164). b)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8C_591/2012 du 29 juillet 2013 consid. 4). En pareil cas, l'administration était fondée à considérer que les pièces ne lui sont pas parvenues, ou pas en temps utile, et à en tirer les conséquences juridiques sur les droits de l'assuré. c) Conformément à l’art. 30 al. 1 let. c LACI, le droit de l’assuré à l’indemnité est suspendu lorsqu’il est établi que celui-ci ne fait pas tout ce qu’on peut raisonnablement exiger de lui pour trouver un travail convenable. La durée de la suspension est de 1 à 15 jours en cas de faute légère, de 16 à 30 jours en cas de faute de gravité moyenne et de 31 à 60 jours en cas de faute grave (art. 45 al. 3 OACI).</w:t>
      </w:r>
    </w:p>
    <w:p>
      <w:r>
        <w:t>A/734/2015 - 4/6 - Il convient de rappeler que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8C_33/2012 du 26 juin 2012 consid. 2.2;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p. 310 et les références).</w:t>
      </w:r>
    </w:p>
    <w:p>
      <w:r>
        <w:rPr>
          <w:b/>
        </w:rPr>
        <w:t>E. 5</w:t>
      </w:r>
    </w:p>
    <w:p>
      <w:r>
        <w:t>En l’espèce, l’intimé a reçu les recherches personnelles d’emploi du mois de décembre 2014 le 2 février 2015, en annexe à l’opposition du recourant. Le recourant soutient avoir remis sa fiche, datée du 25 décembre 2014 et dûment signée, dans une boîte postale à Carouge, le même jour. Il soutient qu’il expédie chaque mois ses recherches d’emploi par courrier simple et qu’il n’avait aucun intérêt à ne pas les expédier, puisqu’il les avait bel et bien faites. Si le recourant a, certes, envoyée chaque mois ses fiches de recherches d’emploi et réalisé des gains intermédiaires entre les mois d’octobre 2014 et janvier 2015, il n’en demeure pas moins qu’il supporte la charge de la preuve de son envoi du 25 décembre 2015. Dès lors qu’il ne peut fournir la preuve d’avoir envoyé sa fiche de recherches d’emploi d’ici le 5 janvier 2015 au plus tard et que l’intimé n’a reçu ladite fiche qu’en date du 2 février 2015, il convient d’admettre que le recourant n’a malheureusement pas déposé ses recherches d’emploi en temps utile. Il s’ensuit que les recherches d’emploi ne peuvent plus être prises en considération (cf. art. 26 al. 2 OACI) et que l’intimé était fondé à prononcer une sanction. Pour le surplus, la suspension prononcée pour une durée de cinq jours est le minimum de la sanction préconisée par le SECO en cas de premier manquement à l’obligation de remettre les recherches personnelles d’emploi (cf. SECO, Bulletin</w:t>
      </w:r>
    </w:p>
    <w:p>
      <w:r>
        <w:t>A/734/2015 - 5/6 - LACI, janvier 2013, D 72), de sorte que l’intimé n’a pas excédé son pouvoir d’appréciation.</w:t>
      </w:r>
    </w:p>
    <w:p>
      <w:r>
        <w:rPr>
          <w:b/>
        </w:rPr>
        <w:t>E. 6</w:t>
      </w:r>
    </w:p>
    <w:p>
      <w:r>
        <w:t>Au vu de ce qui précède, le recours doit être rejeté.</w:t>
      </w:r>
    </w:p>
    <w:p>
      <w:r>
        <w:t>A/734/2015 - 6/6 -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