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ATAS/557/2014 vom 29. April 2014</w:t>
      </w:r>
    </w:p>
    <w:p>
      <w:r>
        <w:t>GE Cour de justice, 2014-04-29, FR</w:t>
      </w:r>
    </w:p>
    <w:p>
      <w:r>
        <w:rPr>
          <w:b/>
        </w:rPr>
        <w:t xml:space="preserve">Quelle: </w:t>
      </w:r>
      <w:r>
        <w:t>https://mcp.opencaselaw.ch/entscheid/ge_gerichte_ATAS_557_2014</w:t>
      </w:r>
    </w:p>
    <w:p>
      <w:r>
        <w:t>FR: GE_GERICHTE ATAS/557/2014 du 29 avril 2014</w:t>
      </w:r>
    </w:p>
    <w:p>
      <w:r>
        <w:t>IT: GE_GERICHTE ATAS/557/2014 del 29 aprile 2014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A/3020/2013 - 6/13 -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légaux, le recours est recevable (art. 56 à 61 LPGA et 38 al. 3 et 4 let. b LPGA p.a.).</w:t>
      </w:r>
    </w:p>
    <w:p>
      <w:r>
        <w:rPr>
          <w:b/>
        </w:rPr>
        <w:t>E. 4</w:t>
      </w:r>
    </w:p>
    <w:p>
      <w:r>
        <w:t>Le litige porte sur le point de savoir si l'intimée était fondée, par sa décision sur opposition du 29 juillet 2013, à supprimer le droit du recourant à des prestations d'assurance à compter du 16 janvier 2013.</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A/3020/2013 - 7/13 -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c. S’agissant de l’aggravation d’un état antérieur dégénératif au niveau de la colonne vertébrale, le statu quo sine est dans la règle atteint après six ou neuf mois, mais au plus tard après un an (Arrêt du Tribunal fédéral 8C_508/2008 du 22 octobre 2008 consid. 4.2).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A/3020/2013 - 8/13 -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Dans une procédure portant sur l'octroi ou le refus de prestations d'assurances sociales, le Tribunal fédéral a précisé que lorsqu'une décision administrative s'appuie exclusivement sur l'appréciation d'un médecin interne à l'assureur social et que l'avis d'un médecin-traitant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w:t>
      </w:r>
    </w:p>
    <w:p>
      <w:r>
        <w:t>A/3020/2013 - 9/13 -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359/04 du 20 décembre 2005 consid. 2 ; Arrêt du Tribunal fédéral des assurances U 389/04 du 27 octobre 2005 consid. 4.1 ; Arrêt du Tribunal fédéral des assurances U 222/04 du 30 novembre 2004 consid. 1.3).</w:t>
      </w:r>
    </w:p>
    <w:p>
      <w:r>
        <w:rPr>
          <w:b/>
        </w:rPr>
        <w:t>E. 11</w:t>
      </w:r>
    </w:p>
    <w:p>
      <w:r>
        <w:t>L’assureur-accidents dispose de la possibilité de mettre fin avec effet « ex nunc » et « pro futuro »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w:t>
      </w:r>
    </w:p>
    <w:p>
      <w:r>
        <w:t>A/3020/2013 - 10/13 -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(Arrêt du Tribunal fédéral des assurances U 6/03 du 6 mai 2003 consid. 4.2.1). Sont toutefois réservés les cas dans lesquels le principe de la confiance s’oppose à une cessation immédiate des prestations. L’arrêt des rentes d’invalidité ou d’autres prestations versées pour une longue période est soumis aux conditions d’adaptation, reconsidération et révision procédurale (ATF 130 V 380 consid. 2.3.1).</w:t>
      </w:r>
    </w:p>
    <w:p>
      <w:r>
        <w:rPr>
          <w:b/>
        </w:rPr>
        <w:t>E. 12</w:t>
      </w:r>
    </w:p>
    <w:p>
      <w:r>
        <w:t>En l’espèce, la Chambre de céans observe en préambule que l’argumentation de l’intimée est pour le moins confuse. En effet, elle nie tout rapport de causalité entre l’évènement accidentel et les troubles du recourant au-delà du 16 janvier 2013, se référant tantôt au statu quo sine (cf. sa décision du 10 juin 2013 ainsi que sa réponse du 17 octobre 2013), tantôt au statu quo ante (cf. décision sur opposition du 29 juillet 2013). En outre, elle suggère que la prise en charge du cas aurait dû être refusée faute de preuve d’une décompensation d’un état antérieur, tout en mentionnant que l’évènement accidentel a décompensé un tel état (cf. décision sur opposition du 29 juillet 2013). Cela étant, il ressort clairement de son écriture du 17 octobre 2013 que l’intimée estime, sur la base de l’avis de son médecin-conseil, que les troubles résiduels ne sont plus en lien de causalité avec l’accident dès le 16 janvier 2013, mais qu’ils sont dus à un état maladif préexistant. Il convient donc de déterminer si l’appréciation du Dr F______ peut se voir reconnaître une pleine valeur probante. Dans son succinct avis du 23 mai 2013, lequel repose sur l’examen des trois rapports médicaux au dossier, soit ceux du Dr D______ du 23 novembre 2012, du Dr E______ du</w:t>
      </w:r>
    </w:p>
    <w:p>
      <w:r>
        <w:rPr>
          <w:b/>
        </w:rPr>
        <w:t>E. 13</w:t>
      </w:r>
    </w:p>
    <w:p>
      <w:r>
        <w:t>Au surplus, la Chambre de céans remarque que la décision litigieuse est critiquable à de nombreux égards. En effet, l’intimée n’a pas seulement mis fin « ex nunc » et « pro futuro » aux prestations du recourant, mais l’a fait avec effet rétroactif puisqu’elle a refusé de prendre en charge les factures des différents fournisseurs de</w:t>
      </w:r>
    </w:p>
    <w:p>
      <w:r>
        <w:t>A/3020/2013 - 12/13 - soins dès le 16 janvier 2013. Il lui incombait d’examiner si les conditions d’une reconsidération étaient réalisées, ce qu’elle n’a pas fait. En outre, l’intimée mentionne dans sa décision sur opposition que le recourant n’a pas apporté d’éléments médicaux permettant de reconsidérer sa décision du 10 juin 2013, alors même qu’il ressort des faits de la cause, lesquels ne sont pas contestés, qu’elle ne lui a pas transmis la détermination du Dr F______ du 23 mai 2013. En omettant de lui communiquer cette pièce pourtant essentielle, l’intimée n’a pas respecté le droit du recourant de consulter son dossier (cf. art. 47 al. 1 let. a LPGA), violant ainsi son droit d’être entendu. Celui-ci n’a en particulier pas eu l’opportunité de s’expliquer avant qu’une décision ne soit prise à son détriment, de fournir des preuves quant aux faits de nature à influer sur le sort de la décision, de participer à l’administration des preuves, d’en prendre connaissance et de se déterminer à leur propos (ATF 126 I 16 consid. 2a/aa ; ATF 124 V 181 consid. 1a ; ATF 124 V 375 consid. 3b et les références). Enfin, il sera observé que l’intimée n’a pas communiqué à l’assureur-maladie du recourant sa décision du 10 juin 2013 et celle sur opposition du 29 juillet 2013, comme le lui impose l’art. 49 al. 4 LPGA. Compte tenu de cette obligation légale, elle ne pouvait se borner à demander au recourant de transmettre la décision du 10 juin 2013 à sa caisse-maladie.</w:t>
      </w:r>
    </w:p>
    <w:p>
      <w:r>
        <w:rPr>
          <w:b/>
        </w:rPr>
        <w:t>E. 14</w:t>
      </w:r>
    </w:p>
    <w:p>
      <w:r>
        <w:t>A défaut d'instruction suffisante sur un éventuel état maladif antérieur et ses conséquences, il se justifie d'annuler la décision et de renvoyer la cause à l'intimée afin qu'elle mette en œuvre une expertise du recourant, laquelle devra être confiée à un spécialiste reconnu.</w:t>
      </w:r>
    </w:p>
    <w:p>
      <w:r>
        <w:rPr>
          <w:b/>
        </w:rPr>
        <w:t>E. 15</w:t>
      </w:r>
    </w:p>
    <w:p>
      <w:r>
        <w:t>Ainsi, le recours est partiellement admis et la cause renvoyée à l'intimée pour une instruction complémentaire dans le sens des considérants.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conseil du recourant n'a pas conclu à l'allocation de dépens. Ces derniers peuvent cependant être alloués à une partie sans conclusion expresse dans ce sens (ATF 118 V 139 consid. 3). Ils doivent être fixés en fonction de l'importance et de la difficulté du litige, ainsi que d'après le travail et le temps que les mandataires ont dû y consacrer (Arrêt du Tribunal fédéral des assurances I 699/04 du 23 janvier 2006 consid. 2). En l'espèce, le recourant obtenant partiellement gain de cause, une indemnité de procédure de CHF 1'500.- lui sera allouée. Au surplus, la procédure est gratuite (art. 61 let. a LPGA).</w:t>
      </w:r>
    </w:p>
    <w:p>
      <w:r>
        <w:t>A/3020/2013 - 13/13 -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