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ATAS/557/2010 vom 25. Mai 2010</w:t>
      </w:r>
    </w:p>
    <w:p>
      <w:r>
        <w:t>GE Cour de justice, 2010-05-25, FR</w:t>
      </w:r>
    </w:p>
    <w:p>
      <w:r>
        <w:rPr>
          <w:b/>
        </w:rPr>
        <w:t xml:space="preserve">Quelle: </w:t>
      </w:r>
      <w:r>
        <w:t>https://mcp.opencaselaw.ch/entscheid/ge_gerichte_ATAS_557_2010</w:t>
      </w:r>
    </w:p>
    <w:p>
      <w:r>
        <w:t>FR: GE_GERICHTE ATAS/557/2010 du 25 mai 2010</w:t>
      </w:r>
    </w:p>
    <w:p>
      <w:r>
        <w:t>IT: GE_GERICHTE ATAS/557/2010 del 25 maggio 2010</w:t>
      </w:r>
    </w:p>
    <w:p>
      <w:pPr>
        <w:pStyle w:val="Heading2"/>
      </w:pPr>
      <w:r>
        <w:t>Erwägungen</w:t>
      </w:r>
    </w:p>
    <w:p>
      <w:r>
        <w:rPr>
          <w:b/>
        </w:rPr>
        <w:t>E. 1</w:t>
      </w:r>
    </w:p>
    <w:p>
      <w:r>
        <w:t>Conformément à l'art. 56V al. 1 let. a ch. 2 de la loi sur l'organisation judiciaire, du 22 novembre 1941 (LOJ ; RS E 2 05), le Tribunal cantonal des assurances sociales</w:t>
      </w:r>
    </w:p>
    <w:p>
      <w:r>
        <w:t>A/1261/2010 - 5/14 -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19 septembre 2008. La loi fédérale sur la partie générale du droit des assurances sociales du</w:t>
      </w:r>
    </w:p>
    <w:p>
      <w:r>
        <w:rPr>
          <w:b/>
        </w:rPr>
        <w:t>E. 6</w:t>
      </w:r>
    </w:p>
    <w:p>
      <w:r>
        <w:t>avril 2004 consid. 5.1.3; arrêt 9C 108/2009 du 29 octobre 2009). Pour satisfaire à l'obligation de réduire le dommage (voir ATF 129 V 463 consid. 4.2,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 du 14 janvier 2005 [I 308/04 et I 309/04] et S. du</w:t>
      </w:r>
    </w:p>
    <w:p>
      <w:r>
        <w:rPr>
          <w:b/>
        </w:rPr>
        <w:t>E. 11</w:t>
      </w:r>
    </w:p>
    <w:p>
      <w:r>
        <w:t>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ATFA du 17 mars 2005, I 257/04). d) Selon l'art. 28a al. 3 LAI,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d’après le handicap dont la personne est affectée dans les deux domaines d’activité. De jurisprudence constante le Tribunal fédéral des assurances a considéré que cette méthode était conforme à la loi et à la volonté du législateur (ATF 125 V 146). 6. 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w:t>
      </w:r>
    </w:p>
    <w:p>
      <w:r>
        <w:t>A/1261/2010 - 10/14 -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7.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A/1261/2010 - 11/14 -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w:t>
      </w:r>
    </w:p>
    <w:p>
      <w:r>
        <w:t>A/1261/2010 - 12/14 -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8. En l'espèce, il convient d'admettre en premier lieu que le statut de l'assurée est mixte, en ce sens qu'elle a toujours travaillé à temps partiel, soit à 53,57% (22,5 heures sur un temps plein de 42 heures) depuis 1986 et qu'elle ne rend pas vraisemblable qu'elle a tenté d'obtenir, mais en vain, une augmentation de son taux d'activité. Il ne suffit pas d'affirmer vouloir travailler plus, même si la motivation paraît plausible (études des enfants et baisse de revenu du mari due à la faillite de Swissair), encore faut-il tenter de le rendre vraisemblable notamment par l'apport de pièces. A défaut d'un courrier de son employeur lui refusant une augmentation de son taux d'activité ou de recherches infructueuses d'emploi auprès d'autres employeurs, il faut se fonder sur la situation concrète de l'assurée lors du début de sa maladie (août 2007), de la demande (septembre 2008) et de la décision (mars 2010), à savoir un taux d'activité professionnelle inchangé depuis plus de 20 ans à 53,57%. En deuxième lieu, le rapport d'expertise du Cemed a pleine valeur probante. Il relève notamment une amélioration de l'état de santé entre 2007 et 2009. Le troisième traitement au Baraclude introduit en 2009 est efficace et permet une normalisation des examens sanguins, alors que le premier, tenté en 2007, n'avait pas permis d'obtenir une baisse de la virémie. Ainsi, si la fatigue liée aux médicaments est reconnue et demeure, celle due à l'affection elle-même devrait avoir diminué. Cela n'est d'ailleurs pas contredit par le Dr. A__________, qui indique certes que la capacité de travail de sa patiente reste nulle, mais admet d'une part une amélioration de la maladie, et n'exclut pas la possibilité d'une reprise à 50%. Il précise d'autre part que le Sebivo est remplacé par le Baraclude en raison de la forte asthénie provoquée par le premier médicament, que le Baraclude permet également une disparition de la virémie au prix d'une grande fatigue, dont la nature exacte est toutefois difficile à déterminer. De plus, les divers avis médicaux et pharmaceutiques concernant les effets secondaires de ce médicament sont convergents en ce sens que la fatigue est admise, mais n'est pas au premier plan des effets secondaires connus. Il est certes difficile d'évaluer l'ampleur de la fatigue d'un patient, son lien avec la médication et ses effets sur la capacité de travail résiduelle, mais il paraît vraisemblable qu'en cas d'amélioration notable du taux de virus grâce aux médicaments, la fatigue liée diminue. Ainsi, l'amélioration de l'état de santé dès janvier 2009 et l'évaluation de la capacité de travail de 50%, malgré la fatigue, doivent être admises. Compte tenu du fait que l'assurée travaillait à 53,57% pour un salaire brut de 36'170 fr., qu'elle est capable de travailler à 50%, le taux d'invalidité sur le plan professionnel est de l'ordre de 6,6% après l'amélioration. [(36'170 x 50 ./. 53,57 = 33'760)], puis [(36'170 - 33'760) x 100 ./. 36'170 = 6,6%].</w:t>
      </w:r>
    </w:p>
    <w:p>
      <w:r>
        <w:t>A/1261/2010 - 13/14 - En troisième lieu, s'agissant des activités ménagères, l'assurée a déclaré lors de son entretien avec l'OAI et aux experts, qu'elle faisait une partie du ménage, la famille prenant en charge le surplus. Il est inutile de procéder à une enquête ménagère, car pour atteindre un degré d'invalidité global de 40%, ouvrant le droit à un quart de rente, il faudrait un empêchement de près de 80% dans la sphère ménagère, ce qui est impossible dans le cas d'espèce et dans la plupart des situations d'ailleurs. [(46,43%(part ménagère)x80%=37,1%) + (50%(part active)x6,6%=3,3%)= 40,4%]. La fatigue retenue n'empêche pas l'assurée de se promener, de sorte que les activités ménagères les moins fatigantes peuvent être effectuées de manière fractionnée dans la journée. Les membres de la famille peuvent s'occuper de la lessive, des courses et des travaux ménagers plus lourds. Sans examiner de façon détaillée chaque poste des activités ménagères, on doit retenir que le taux d'empêchement global n'atteindra pas 80 %. Pour finir, malgré le fait que les experts mandatés et le SMR admettent que l'assurée était en incapacité de travail totale jusqu'au 31 décembre 2008, l'OAI peut refuser toute rente du 1er septembre 2008 au 31 mars 2009, soit 3 mois après l'amélioration de l'état de santé, en raison de délai légal de six mois depuis le dépôt de la demande prévu par l'article 29 al. 1 LAI pour ouvrir le droit à la rente. Le dépôt de la demande de prestation date du 18 septembre 2008 et le délai échoit le 18 mars 2009, alors que l'état de santé s'est amélioré dès fin décembre 2008. 9. Ainsi, l'OAI est fondé à refuser une rente d'invalidité à l'assurée, dont l'état de santé au-delà du 18 mars 2009 a certes une incidence sur sa capacité de travail et sur celle d'effectuer ses tâches ménagères, mais qui implique un taux d'invalidité nettement inférieur à 40%, qui n'ouvre pas le droit à une rente d'invalidité. Les divers médecins, y compris les experts mandatés, précisent toutefois à juste titre que le pronostic reste réservé et que la situation devra être revue dans deux ans. Mal fondé, le recours est rejeté. La procédure de recours en matière de contestations portant sur l’octroi ou le refus de prestations de l’assurance-invalidité devant le Tribunal de céans est désormais soumise à des frais de justice, qui doivent se situer entre 200 fr. et 1'000 fr. (art. 69 al. 1bis LAI). Le présent cas est soumis au nouveau droit (ch. II let. c des dispositions transitoires relatives à la modification du 16 décembre 2005), de sorte qu’il sera perçu un émolument.</w:t>
      </w:r>
    </w:p>
    <w:p>
      <w:r>
        <w:t>A/1261/2010 - 14/14 -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