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ATAS/555/2008 vom 8. Mai 2008</w:t>
      </w:r>
    </w:p>
    <w:p>
      <w:r>
        <w:t>GE Cour de justice, 2008-05-08, FR</w:t>
      </w:r>
    </w:p>
    <w:p>
      <w:r>
        <w:rPr>
          <w:b/>
        </w:rPr>
        <w:t xml:space="preserve">Quelle: </w:t>
      </w:r>
      <w:r>
        <w:t>https://mcp.opencaselaw.ch/entscheid/ge_gerichte_ATAS_555_2008</w:t>
      </w:r>
    </w:p>
    <w:p>
      <w:r>
        <w:t>FR: GE_GERICHTE ATAS/555/2008 du 8 mai 2008</w:t>
      </w:r>
    </w:p>
    <w:p>
      <w:r>
        <w:t>IT: GE_GERICHTE ATAS/555/2008 del 8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a compétence pour juger du cas d’espèce est ainsi établie.</w:t>
      </w:r>
    </w:p>
    <w:p>
      <w:r>
        <w:rPr>
          <w:b/>
        </w:rPr>
        <w:t>E. 2</w:t>
      </w:r>
    </w:p>
    <w:p>
      <w:r>
        <w:t>Le recours interjeté respectant les forme et délai prévus par la loi (art. 56 à 60 LPGA), il y a lieu de le déclarer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w:t>
      </w:r>
    </w:p>
    <w:p>
      <w:r>
        <w:t>- 11/18-</w:t>
      </w:r>
    </w:p>
    <w:p>
      <w:r>
        <w:t>A/2550/2007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24 mai 2007,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a)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la jurisprudence et la doctrine, l’autorité administrative ou le juge ne doit considérer un fait comme prouvé que lorsqu’ils sont convaincus de sa réalité (KUMMER, Grundriss des Zivilprozessrechts, 4ème édition Berne 1984, p. 136 ;</w:t>
      </w:r>
    </w:p>
    <w:p>
      <w:r>
        <w:t>- 12/18-</w:t>
      </w:r>
    </w:p>
    <w:p>
      <w:r>
        <w:t>A/2550/2007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c)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w:t>
      </w:r>
    </w:p>
    <w:p>
      <w:r>
        <w:t>- 13/18-</w:t>
      </w:r>
    </w:p>
    <w:p>
      <w:r>
        <w:t>A/2550/2007 Cst. (SVR 2001 IV n° 10 p. 28 consid. 4b), la jurisprudence rendue sous l'empire de l'art. 4 aCst. étant toujours valable (ATF 124 V 94 consid. 4b, 122 V 162 consid. 1d et l'arrêt cité).</w:t>
      </w:r>
    </w:p>
    <w:p>
      <w:r>
        <w:rPr>
          <w:b/>
        </w:rPr>
        <w:t>E. 5</w:t>
      </w:r>
    </w:p>
    <w:p>
      <w:r>
        <w:t>a) En l'espèce, sans remettre en cause les diverses atteintes à la santé physiques reconnues dont souffre la recourante, il est constant que les troubles de santé principaux qu’elle présente sont d'ordre psychiatrique : l'ensemble des médecins qui se sont prononcés sur son cas ont pu constater qu’elle présente un trouble de l’adaptation, un trouble de la personnalité, ainsi qu’un trouble du comportement alimentaire. La qualification desdits troubles mentaux et leur influence sur la capacité de travail est toutefois sujette à des fluctuations en fonction du praticien concerné. b) Parmi les atteintes à la santé psychique, qui peuvent, comme les atteintes physiques, provoquer une invalidité au sens de l'art. 4 al. 1 LAI en liaison avec l'art.</w:t>
      </w:r>
    </w:p>
    <w:p>
      <w:r>
        <w:rPr>
          <w:b/>
        </w:rPr>
        <w:t>E. 8</w:t>
      </w:r>
    </w:p>
    <w:p>
      <w:r>
        <w:t>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 Dans le cas d’espèce, la recourante a été soumise à une expertise réalisée en 2003 par le docteur M__________, puis à un examen spécialisé effectué par le docteur U__________ en 2006. L’intimé se fonde sur les conclusions de ce dernier médecin, corroborées selon lui par celles des docteurs M__________ et L__________, ancien psychiatre traitant de la recourante. Or, on relèvera tout d’abord, avec la recourante, que l’expert U__________ a fixé la capacité de travail résiduelle de l’intéressée sur la base d’une méthode qui ne</w:t>
      </w:r>
    </w:p>
    <w:p>
      <w:r>
        <w:t>- 14/18-</w:t>
      </w:r>
    </w:p>
    <w:p>
      <w:r>
        <w:t>A/2550/2007 saurait emporter la conviction. En effet, il a procédé par une sorte de moyenne arithmétique en tenant compte des périodes d’activité et d’inactivité, semble-t-il, de l’intéressée avant la survenance de l’invalidité au lieu de se concentrer sur ce qui est (ou était, à tout le moins au jour de son examen) raisonnablement exigible de la part de cette dernière compte tenu des affections dont elle souffre. Le docteur U__________ se réfère, il est vrai, aux conclusions de l’expert précédent, le docteur M__________. Toutefois, il ne ressort pas du rapport rédigé par ce médecin qu’il ait reconnu le trouble de la personnalité de la recourante, qualifié de grave et constituant une atteinte à la santé au sens de l’art. 4 LAI selon le docteur U__________, comme pouvant avoir une influence sur sa capacité de travail. Il apparaît bien plutôt qu’il a écarté ce trouble au motif qu’il ne constituait pas, pour lui, une atteinte à la santé et s’est dès lors concentré sur la capacité de travail raisonnablement exigible eu égard au seul trouble de l’adaptation avec réaction anxieuse et dépressive. Or, dans la mesure où il a déclaré que l’existence du trouble de la personnalité conduisait à une impasse sur le plan thérapeutique et, par voie de conséquence, sur celui de la reprise d’une activité lucrative, on ne peut qu’en déduire que les conclusions des deux experts sont incompatibles entre elles. On ajoutera encore que le psychiatre traitant de la recourante, le docteur O__________, de même que les autres praticiens consultés, partagent tous l’avis selon lequel les troubles psychiques de la recourante présentent une certaine gravité et se trouvent au premier plan, empêchant également la prise en charge et le traitement du trouble alimentaire. Le seul avis prétendument contraire exprimé par le docteur L__________, il y a de cela cinq ans, ne peut se voir accorder une importance décisive à cet égard ; il ne se rapporte en réalité qu’au trouble de l’adaptation avec réaction dépressive dont la négation de l’amendement par la recourante semble, eu égard aux pièces médicales du dossier, être la conséquence d’un autre trouble psychique (le trouble de la personnalité). Il n’est dès lors pas possible, dans ces circonstances, au Tribunal de céans de se forger une opinion sur la base des deux expertises psychiatriques effectuées. Pas plus qu'il n'est envisageable de fixer la capacité de travail de l’intéressée sur la base des autres documents, dès lors qu’il n’appartient pas au juge de substituer sa propre appréciation à celle des médecins. Il convient donc d’ordonner la mise en œuvre d’une expertise judiciaire psychiatrique, aux fins de déterminer, d’une part, quelles sont les atteintes dont souffre (et/ou a souffert) la recourante et si celles-ci doivent être considérées comme des atteintes au sens de l’art. 4 LAI, ainsi que, d’autre part, déterminer sa capacité de travail résiduelle depuis la survenance de l’atteinte à la santé (a priori le 14 janvier 2002) à ce jour, de même que les limitations que les affections psychiques présentées induisent dans l’exercice d’une activité professionnelle.</w:t>
      </w:r>
    </w:p>
    <w:p>
      <w:r>
        <w:t>- 15/18-</w:t>
      </w:r>
    </w:p>
    <w:p>
      <w:r>
        <w:t>A/2550/2007 7. Cette expertise sera confiée au docteur W_________, spécialiste en psychiatrie et psychothérapie, Département de psychiatrie adulte, Hôpitaux universitaires de Genève. Le Tribunal rend attentif le médecin au fait qu’il est tenu de réaliser personnellement l’expertise qui lui est présentement confiée. ***</w:t>
      </w:r>
    </w:p>
    <w:p>
      <w:r>
        <w:t>- 16/18-</w:t>
      </w:r>
    </w:p>
    <w:p>
      <w:r>
        <w:t>A/2550/2007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