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ATAS/554/2022 vom 27. Mai 2022</w:t>
      </w:r>
    </w:p>
    <w:p>
      <w:r>
        <w:t>GE Cour de justice, 2022-05-27, FR</w:t>
      </w:r>
    </w:p>
    <w:p>
      <w:r>
        <w:rPr>
          <w:b/>
        </w:rPr>
        <w:t xml:space="preserve">Quelle: </w:t>
      </w:r>
      <w:r>
        <w:t>https://mcp.opencaselaw.ch/entscheid/ge_gerichte_ATAS_554_2022</w:t>
      </w:r>
    </w:p>
    <w:p>
      <w:r>
        <w:t>FR: GE_GERICHTE ATAS/554/2022 du 27 mai 2022</w:t>
      </w:r>
    </w:p>
    <w:p>
      <w:r>
        <w:t>IT: GE_GERICHTE ATAS/554/2022 del 27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w:t>
      </w:r>
    </w:p>
    <w:p>
      <w:r>
        <w:t>A/525/2021 - 7/16 -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sur le degré d’invalidité du recourant et sur son droit éventuel à des prestations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w:t>
      </w:r>
    </w:p>
    <w:p>
      <w:r>
        <w:t>A/525/2021 - 8/16 -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ATF 141 V 281 consid. 2.1 et 2.1.1; ATF 130 V 396 consid. 5.3 et 6).</w:t>
      </w:r>
    </w:p>
    <w:p>
      <w:r>
        <w:rPr>
          <w:b/>
        </w:rPr>
        <w:t>E. 7.2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7.3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w:t>
      </w:r>
    </w:p>
    <w:p>
      <w:r>
        <w:t>A/525/2021 - 9/16 - tels qu'une exagération ou d'autres manifestations d'un profit secondaire tiré de la maladie (cf. ATF 141 V 281 consid. 2.2 ; arrêt du Tribunal fédéral 9C_756/2018 du 17 avril 2019 5.2.2 et la référence).</w:t>
      </w:r>
    </w:p>
    <w:p>
      <w:r>
        <w:rPr>
          <w:b/>
        </w:rPr>
        <w:t>E. 7.4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w:t>
      </w:r>
    </w:p>
    <w:p>
      <w:r>
        <w:rPr>
          <w:b/>
        </w:rPr>
        <w:t>E. 12</w:t>
      </w:r>
    </w:p>
    <w:p>
      <w:r>
        <w:t>En l’espèce, le recourant reproche à l’experte de s’être écartée des diagnostics retenus par ses médecins. À cet égard, il rappelle que la Dresse E______ a relevé une fatigabilité accrue, tout comme le Dr C______, lequel a également fait état de problèmes de sommeil et une fragilité de l’estime de soi et une auto-dévalorisation de son patient. Il constate que l’experte n’a retenu aucune diminution de l’intérêt et du plaisir pour les activités habituellement agréables, alors même que la Dresse E______ a souligné que sa seule source de plaisir résidait dans les sorties avec son fils. Le recourant argue que son état est fluctuant et que, tout comme l’a relevé le Dr C______, dans son rapport du 23 juillet 2019, il a tendance à orienter ses réponses afin de se présenter sous un jour plus favorable. Il fait remarquer que la journée type décrite à ses psychiatres est notablement moins agréable que celle décrite à l’experte, ce qu’il explique par le fait qu’il a souhaité présenter à cette dernière une journée « idéale ». Enfin, il allègue que le fait qu’il puisse s’occuper de son enfant âgé de cinq ans ou organiser les funérailles de ses parents ne saurait être considéré comme une preuve suffisante de ses ressources. Il convient en premier lieu de constater que le rapport de l’experte est fondé sur une anamnèse détaillée effectuée en connaissance du dossier médical, sur les plaintes de l’assuré et sur un examen clinique complet. Par ailleurs, ses conclusions sont claires et motivées, de sorte que ce rapport satisfait aux réquisits jurisprudentiels topiques en matière de valeur probante de rapports médicaux (ATF 125 V 351 consid. 3b/bb). C'est le lieu de rappeler que lorsqu'une appréciation repose sur une évaluation médicale complète - comme l'est celle de la Dresse H______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(cf. supra). En l’occurrence, le recourant ne met pas de tels éléments en évidence. L’experte a expliqué avoir constaté l’absence de signes de fatigue, la présence de bonnes capacités d’élaboration, une orientation dans le temps et l’espace dans la norme, des capacités de mémoire conservées, une bonne vigilance, pas d’humeur triste visible, un assuré tonique, un visage animé et mobile, une fluidité des idées</w:t>
      </w:r>
    </w:p>
    <w:p>
      <w:r>
        <w:t>A/525/2021 - 14/16 - et une bonne compliance au vu des dosages sanguins, raison pour laquelle, au final, elle n’a retenu aucun diagnostic psychiatrique incapacitant. Selon elle, l’assuré ne présentait ni trouble du cours de la pensée, ni ralentissement psychomoteur et montrait une thymie neutre. L’experte n’a constaté aucun trouble des fonctions cognitives, de l’attention, de la concentration ou encore de la mémoire. La Cour de céans note que le bilan neuropsychologique effectué le 23 juillet 2019 par Mme D______, corrobore les observations de l’experte, dans la mesure où le recourant a obtenu un score d’anxiété correspondant à une symptomatologie douteuse et un score de dépression confirmant l’absence de symptomatologie. Le score de flexibilité mentale était quant à lui certes assez faible, mais pas significativement déficitaire s’agissant de l’indice de vitesse de traitement. L’experte ajoute que le recourant n’a rapporté ni idées noires, ni idées suicidaires, qu’il n’a pas formulé de plaintes liées à une fatigue ou à des troubles du sommeil. Elle n’a noté ni aboulie, ni anhédonie, ni fragilité de l’estime de soi, ni aucun symptôme en lien avec une récurrence d’ordre dépressive, aucun trouble structuré de type anxieux non plus. Contrairement à ce que retient le psychiatre traitant, le recourant n’a décrit aucune réviviscence des traumatismes vécus dans les années 1990. Au contraire, l’assuré a le projet de retourner à Madagascar afin de monter un projet écologique, infirmant ainsi l’hypothèse d’un syndrome d’état de stress post-traumatique. Au vu de ses observations, l’experte a considéré que les plaintes étaient sans conséquences sur le fonctionnement quotidien de l’intéressé. Les limitations alléguées ne se manifestaient pas de la même manière dans tous les domaines de la vie. Le recourant évoquait un lourd handicap, malgré un quotidien et un environnement familial intact. Des incohérences ont été relevées lors de l’évaluation psychiatrique objective et les plaintes subjectives de l’intéressé. L’experte a aussi noté que les mesures de traitement étaient en-deçà des propositions thérapeutiques habituelles pour ce type de plaintes. Le recourant allègue à cet égard que c’est en raison de sa propension à la dépendance, ce qu’aucun de ses médecins ne vient cependant confirmer. L’experte a expliqué pour quelles raisons elle ne retenait pas le diagnostic de trouble dépressif moyen, dont elle a rappelé qu’il doit répondre à des critères diagnostics précis : les doses d’antidépresseurs étaient particulièrement basses – qui plus est s’agissant d’un patient en surpoids - et les symptômes ne répondaient pas aux critères diagnostiques du trouble dépressif. On cherche en vain dans les rapports des médecins traitants des éléments objectifs qui auraient été ignorés par l’experte, étant rappelé qu’il ne suffit pas d’affirmer que l’intensité de la symptomatologie décrite par l’experte ne coïncide pas avec celle relatée par les médecins traitants. Encore faut-il faire état d’éléments</w:t>
      </w:r>
    </w:p>
    <w:p>
      <w:r>
        <w:t>A/525/2021 - 15/16 - objectivement vérifiables - de nature clinique ou diagnostique - ayant été ignorés dans le cadre de l’expertise et suffisamment pertinents pour en remettre en cause les conclusions, ce qui n’est pas le cas en l’occurrence. Comme on l’a vu, l’experte a clairement motivé son appréciation. Elle a expliqué notamment que les plaintes dont les médecins traitants s’étaient fait l’écho ne donnaient nullement lieu aux mesures de traitement correspondantes (bien en deçà des propositions thérapeutiques habituelles). La question des ressources personnelles dont dispose l’assuré a été examinée et penche pour une absence de limitation. D’ailleurs, les limitations alléguées ne se manifestent pas de la même manière dans tous les domaines de la vie (allégation de lourds handicaps, malgré un quotidien et un environnement familial intacts). Le rapport d’expertise reprend chaque diagnostic avancé par les médecins traitants et explique pour chacun d’entre eux pourquoi il n’a pu être objectivement retenu. Eu égard à ces considérations, la Cour de céans ne voit pas de raison objective de s’écarter des conclusions de l’expertise, à laquelle une pleine valeur probante doit être reconnue. Il en découle que c’est à juste titre que l’intimé a conclu à l’absence d’atteinte à la santé invalidante.</w:t>
      </w:r>
    </w:p>
    <w:p>
      <w:r>
        <w:rPr>
          <w:b/>
        </w:rPr>
        <w:t>E. 13</w:t>
      </w:r>
    </w:p>
    <w:p>
      <w:r>
        <w:t>Au vu de ce qui précède, le recours est rejeté et le recourant condamné au paiement d'un émolument de CHF 200.- (art. 69 al. 1bis LAI).</w:t>
      </w:r>
    </w:p>
    <w:p>
      <w:r>
        <w:t>A/525/2021 - 16/16 -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