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ATAS/554/2020 vom 30. Juni 2020</w:t>
      </w:r>
    </w:p>
    <w:p>
      <w:r>
        <w:t>GE Cour de justice, 2020-06-30, FR</w:t>
      </w:r>
    </w:p>
    <w:p>
      <w:r>
        <w:rPr>
          <w:b/>
        </w:rPr>
        <w:t xml:space="preserve">Quelle: </w:t>
      </w:r>
      <w:r>
        <w:t>https://mcp.opencaselaw.ch/entscheid/ge_gerichte_ATAS_554_2020</w:t>
      </w:r>
    </w:p>
    <w:p>
      <w:r>
        <w:t>FR: GE_GERICHTE ATAS/554/2020 du 30 juin 2020</w:t>
      </w:r>
    </w:p>
    <w:p>
      <w:r>
        <w:t>IT: GE_GERICHTE ATAS/554/2020 del 30 giugno 2020</w:t>
      </w:r>
    </w:p>
    <w:p>
      <w:pPr>
        <w:pStyle w:val="Heading2"/>
      </w:pPr>
      <w:r>
        <w:t>Erwägungen</w:t>
      </w:r>
    </w:p>
    <w:p>
      <w:r>
        <w:rPr>
          <w:b/>
        </w:rPr>
        <w:t>E. 9</w:t>
      </w:r>
    </w:p>
    <w:p>
      <w:r>
        <w:t>a. En l’espèce, il convient tout d’abord de rappeler qu’après avoir complété l’instruction une première fois, suite à l’arrêt rendu par le Tribunal fédéral en 2013, l’office intimé a admis qu’il ne se justifiait pas de dissocier les travaux de mécanicien lourds et légers (comme il l’avait fait initialement dans sa décision de 2011), mais qu’il convenait de regrouper les travaux de mécanique au sein d’un seul champ d’activité (cf. rapport de réadaptation professionnelle du 6 septembre 2013). Ce point n’est plus litigieux à ce stade : les parties admettent désormais l’une et l’autre que des travaux de mécanique, tant lourds que légers, ne sont plus exigibles depuis l’atteinte. b. Dans son arrêt du 6 juillet 2016, la Cour de céans a renvoyé la cause à l’intimé pour instruction complémentaire et nouvelle décision. Dans ses considérants, la juridiction a retenu en substance que l’OAI avait procédé à une évaluation théorique – et non concrète – du degré d’invalidité et plus particulièrement de la pondération des champs d’activités après l’atteinte à la santé, en contrariété avec les instructions contenues dans l’arrêt de renvoi prononcé par le Tribunal fédéral. En particulier, l’office n’avait pas cherché à examiner si le recourant était concrètement en mesure de reprendre certaines activités des chefs d’atelier, pas plus qu’il n’avait élucidé la question de savoir si ceux-ci accomplissaient encore des tâches manuelles ou si leurs activités consistaient essentiellement en des tâches de gestion et supervision des mécaniciens. Le cahier des charges du directeur technique n’avait pas non plus été édité, de sorte que l’on ignorait si ses tâches se recoupaient avec celles du chef d’atelier ou si son poste impliquait des tâches distinctes. c. Dans le cadre de l’instruction complémentaire entreprise suite à l’arrêt de renvoi de la Cour, l’office intimé a obtenu, entre autres, une liste des postes occupés au sein de la société, respectivement de leur rémunération, ainsi que des cahiers des charges actualisés des divers emplois, dont celui de directeur technique. Il a également requis une copie des taxations fiscales de la société pour les années 2009 à 2016. Un entretien téléphonique avec M. D______ – qui fût directeur technique de la société jusqu’en 2013 – a par ailleurs été diligenté. À l’issue de l’instruction complémentaire et sur la base des documents versés au dossier, l’intimé est parvenu, dans la décision attaquée, à la conclusion que l’assuré pourrait occuper le poste de chef d’atelier (ou directeur technique) de son entreprise à 90% (au minimum). Pour évaluer le degré d’invalidité selon la méthode extraordinaire, il a pondéré les champs d'activités après l’atteinte à la santé de la manière suivante : 50% pour les tâches de direction, 40% pour les tâches de chef d’atelier et 0% pour les travaux lourds et légers de mécanique. Il a estimé que l’assuré ne présentait qu’une perte de gain de 7%, insuffisante pour ouvrir droit à une rente. d. De son côté, le recourant conteste avoir insuffisamment collaboré à l’instruction. Par ailleurs, il se défend de pouvoir occuper à 90% un poste de chef d’atelier (ou directeur technique) au sein de sa société. Se référant à une attestation signée par M. I______, il affirme qu’une reprise par lui-même d’une partie des</w:t>
      </w:r>
    </w:p>
    <w:p>
      <w:r>
        <w:t>A/1717/2019 - 22/26 - tâches du directeur technique est « […] totalement irréaliste dans la marche effective de B______ SA ». Les tâches du directeur technique, qui comportent des tâches tant légères que lourdes, seraient indissociables et non planifiables. Selon lui, il est inconcevable qu’il puisse s’insérer au milieu d’une chaîne de travail gérée par le chef d’atelier, tout en n’intervenant que ponctuellement pour prodiguer des conseils ou donner des instructions. En outre, l’activité « diagnostic sur véhicule », qui occupe 10% du cahier des charges du directeur technique, recouvre des tâches à la fois légères et lourdes, tout en nécessitant la maîtrise d’outils informatiques qu’il méconnaît. Le recourant estime que l’intimé se fonde une fois de plus sur une évaluation purement théorique pour retenir, en contrariété avec les pièces du dossier, qu’il pourrait occuper un poste de directeur technique de son entreprise à 90%. Au regard de l’argumentation développée par le recourant, il convient de relever que ce dernier ne conteste pas la pondération des champs d’activité avant l’atteinte à la santé, puisqu’il se fonde sur les mêmes calculs que l’intimé, dont il déduit un revenu sans invalidité identique (CHF 77'028.-). Ne demeure litigieuse à ce stade que la pondération des champs d’activité après l’atteinte à la santé.</w:t>
      </w:r>
    </w:p>
    <w:p>
      <w:r>
        <w:rPr>
          <w:b/>
        </w:rPr>
        <w:t>E. 10</w:t>
      </w:r>
    </w:p>
    <w:p>
      <w:r>
        <w:t>a. Comme précédemment exposé, l’office intimé a pondéré les champs d'activités de l'assuré après l’atteinte à la santé en tenant compte, d’une part, d’un taux de 50% pour le champ d’activité « direction / administration » et d’autre part, d’un taux de 40% pour le champ d’activité « chef d’atelier » (ou directeur technique). Par ailleurs, l’intimé a admis qu’après l’atteinte, l’assuré ne pouvait plus effectuer de travaux de mécanique lourds ou légers. Sur cette base, il a évalué le revenu d'invalide que pourrait réaliser l’assuré dans une activité à 90% n’impliquant pas de travaux de mécanique, moyennant une réorganisation de l’entreprise (CHF 71'858.-). b. Le Tribunal fédéral a déjà jugé que le taux de 50% retenu pour le champ d’activité « direction / administration » devait être considéré comme un minimum au vu du développement de l'entreprise (lors du dépôt de la première demande de prestations, le recourant avait déclaré qu’il consacrait 50% de son temps aux travaux administratifs et de direction, alors que son entreprise n’avait que 3 ans et comptait 8 employés, dont 2 à mi-temps pour les travaux administratifs. Lors de l’enquête de 2008, il y avait une quinzaine d’employés et le recourant avait dû engager un chef d’atelier en raison du développement de l’entreprise et pour exécuter les tâches manuelles qu’il ne pouvait plus accomplir). Selon le Tribunal fédéral, cela était d’autant plus vrai qu'à la suite de la réorganisation de l’entreprise en 2009, le recourant avait formalisé ce fait par un contrat de travail à 50% en tant que directeur commercial (arrêt du Tribunal fédéral 9C_512/2012 du 23 mai 2013 consid. 4.3). c. Au regard des deux instructions complémentaires diligentées par l’intimé depuis l’arrêt fédéral, la Cour de céans considère que la part de 50% retenue par l’office dans le champ d’activité « direction / administration » ne reflète</w:t>
      </w:r>
    </w:p>
    <w:p>
      <w:r>
        <w:t>A/1717/2019 - 23/26 - vraisemblablement qu’une partie du travail réellement effectué par l’intéressé en tant que directeur commercial. En effet, l’ancien directeur technique de la société a confirmé que l’assuré « décidait de tout » dans l’entreprise et qu’il y travaillait à plein temps, tous les jours. Bien qu’il avait passé l’âge de la retraite, il continuait à travailler tous les jours (cf. note de travail du 18 janvier 2018). De son côté, le recourant a indiqué que son poste était en principe à mi-temps, mais qu’il travaille « comme il veut » et effectue aussi des journées complètes si nécessaire (cf. rapport de réadaptation professionnelle du 6 septembre 2013). Eu égard à ces éléments, on peut légitimement se demander s’il ne faudrait pas revoir à la hausse le taux dévolu au champ d’activité « direction / administration ». Il n’est toutefois pas nécessaire d’examiner plus avant cette question, dès lors que le revenu statistique d’invalide évalué par l’intimé dans les champs d’activité « direction/administration » et « chef d’atelier » est pratiquement identique (de l’ordre de CHF 6'600.- par mois dans les deux cas). Cela signifie que même si l’on voulait augmenter la pondération du champ d’activité « direction / administration » et diminuer d’autant celle du champ d’activité « chef d’atelier », cela n’entraînerait aucune modification significative du revenu d’invalide et, par conséquent, du degré d’invalidité. d. S’agissant de la part de 40% retenue par l’intimé après l’atteinte dans l’activité de « chef d’atelier », la Cour de céans estime qu’elle ne prête pas non plus le flanc à la critique. En effet, si l’on se réfère au cahier des charges versé à la procédure en 2018, le poste de directeur technique – qui correspond selon le recourant à celui de chef d’atelier – comporte essentiellement des tâches administratives, d’encadrement et de gestion, lesquelles sont de toute évidence adaptées aux limitations fonctionnelles de l’assuré. Seules 10% des tâches correspondent à des « travaux de mécanique lourde », incompatibles avec les limitations de l’assuré, voire 20% tout au plus en excluant la tâche de « diagnostic sur véhicule », comme le voudrait le recourant. Les déclarations de l’ancien directeur technique de la société, telles qu’elles sont rapportées dans la note du 18 janvier 2018, confirment que le poste de directeur technique ne comporte que très peu de travaux de mécanique. L’intimé était donc fondé à considérer qu’une reprise partielle des tâches du directeur technique pouvait être exigée de la part du recourant. Le recourant qualifie d’irréaliste – attestation à l’appui – une reprise par lui-même des tâches du directeur technique. Il convient cependant de rappeler que le recourant a déjà occupé ce même poste ad interim, comme le démontre le rapport de réadaptation professionnelle du 6 septembre 2013, de sorte qu’il est de toute évidence capable d’accomplir les tâches qu’impliquent cette fonction, à tout le moins la plupart d’entre elles. En outre, il convient de rappeler que le recourant a l’obligation de réduire le dommage et que, dans ce contexte, il est parfaitement exigible qu’il réorganise son entreprise et augmente le temps consacré aux travaux de direction, d’encadrement et de gestion, tels que ceux dont il est majoritairement question, tant dans le poste de directeur commercial que celui de chef d’atelier.</w:t>
      </w:r>
    </w:p>
    <w:p>
      <w:r>
        <w:t>A/1717/2019 - 24/26 - e. En tenant compte des limitations fonctionnelles liées aux atteintes de l’épaule et du poignet gauche (cf. rapport du médecin d’arrondissement de la SUVA du 19 décembre 2007), il convient d’admettre, avec l’intimé, que le recourant ne peut plus exercer de travaux de mécanique, mais qu’il demeure capable d’effectuer des travaux de direction et pourrait réaliser la plupart des tâches accomplies par le chef d’atelier (ou directeur technique). En définitive, sur la base du rapport pour indépendant établi par l’OAI en 2018, la comparaison des champs d’activités avec pondération donne les résultats suivants : f. Par conséquent, en application de la méthode extraordinaire, le degré d’invalidité (arrondi) du recourant s’élève effectivement à 7% ([CHF 77'028. - CHF 71'858.-] / CHF 77'028.-), les chiffres retenus par l’intimé n’étant au demeurant pas contestés en tant que tels. On précisera en outre que le revenu d’invalide estimé par l’intimé (CHF 71’858.-) n’est manifestement pas défavorable au recourant, dès lors que ce chiffre ne tient pas compte des dividendes que l’intéressé – titulaire de la totalité des parts sociales de l’entreprise – semble avoir perçus en sus de son salaire de directeur commercial (si l’on se réfère aux taxations fiscales versées au dossier, la société aurait versé un dividende de CHF 80’000.- en 2010, de CHF 200’000.- chaque année entre 2011 et 2014, puis de CHF 400’000.- en 2015). Sensiblement inférieur à 40%, le degré d’invalidité est insuffisant pour ouvrir droit à une rente de l’assurance-invalidité (art. 28 al. 1 LAI). Pour le surplus, le recourant ne requiert pas l’octroi de mesures professionnelles.</w:t>
      </w:r>
    </w:p>
    <w:p>
      <w:r>
        <w:rPr>
          <w:b/>
        </w:rPr>
        <w:t>E. 11</w:t>
      </w:r>
    </w:p>
    <w:p>
      <w:r>
        <w:t>On ajoutera que, contrairement à ce que soutient le recourant, on ne saurait reprocher à l’intimé d’avoir clos l’instruction et rendu une décision à l’issue de sa seconde instruction complémentaire, en 2019. Indépendamment de la question d’une éventuelle violation de l’obligation de collaborer du recourant en relation avec des informations manquantes, voire potentiellement erronées (par exemple sur le taux d’activité réellement exercé champs d’activités sans atteinte à la santé pondération sans handicap pondération exigible avec handicap incapacité de travail dans le champ d’activité base de salaire mensuel revenu annuel hyp. sans handicap revenu annuel hyp. avec handicap direction / administration 50% 50% 0%</w:t>
      </w:r>
    </w:p>
    <w:p>
      <w:r>
        <w:t>CHF 6’674.- CHF 40’044.-</w:t>
      </w:r>
    </w:p>
    <w:p>
      <w:r>
        <w:t>CHF 40’044.- mécanicien PL (travaux lourds et légers) 50% 0% 100%</w:t>
      </w:r>
    </w:p>
    <w:p>
      <w:r>
        <w:t>CHF 6’164.-</w:t>
      </w:r>
    </w:p>
    <w:p>
      <w:r>
        <w:t>CHF 36’984.- CHF 0.- chef d’atelier 0% 40% 0% CHF 6’628.- CHF 0.- CHF 31’814.- total 100% 90% CHF 77’028.- CHF 71’858.- taux d’invalidité</w:t>
      </w:r>
    </w:p>
    <w:p>
      <w:r>
        <w:t>7%</w:t>
      </w:r>
    </w:p>
    <w:p>
      <w:r>
        <w:t>A/1717/2019 - 25/26 - depuis l’atteinte, cf. note de travail du 18 janvier 2018), on relèvera qu’en tout état de cause, les documents versés au dossier suffisent à établir le degré d’invalidité du recourant au degré de preuve requis, sans que des investigations supplémentaires ne soient susceptibles de modifier cette appréciation (sur l'appréciation anticipée des preuves, cf. supra consid. 7b). Pour le reste, le recourant ne peut être suivi non plus lorsqu’il affirme que l’évaluation de l’invalidité à laquelle s’est livré l’intimé repose sur une approche purement théorique, eu égard à la visite de l’entreprise effectuée par un collaborateur de l’OAI en 2013 et aux pièces obtenues par l’office dès 2016 dans le cadre de son instruction complémentaire (cahiers des charges actualisés, taxations fiscales 2009 à 2015, note d’entretien téléphonique avec l’ancien directeur technique, etc.).</w:t>
      </w:r>
    </w:p>
    <w:p>
      <w:r>
        <w:rPr>
          <w:b/>
        </w:rPr>
        <w:t>E. 12</w:t>
      </w:r>
    </w:p>
    <w:p>
      <w:r>
        <w:t>Mal fondé, le recours est rejeté. La procédure de recours en matière de contestation portant sur l’octroi ou le refus de prestations de l’assurance-invalidité étant soumise à des frais de justice, le recourant sera condamné au paiement d’un émolument, arrêté à CHF 500.- (art. 69 al. 1 bis LAI). Vue l’issue de la procédure, il n’y a pas matière à allocation d’une indemnité (art. 61 let. g LPGA).</w:t>
      </w:r>
    </w:p>
    <w:p>
      <w:r>
        <w:t>******</w:t>
      </w:r>
    </w:p>
    <w:p>
      <w:r>
        <w:t>A/1717/2019 - 26/26 -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