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ATAS/554/2013 vom 30. Mai 2013</w:t>
      </w:r>
    </w:p>
    <w:p>
      <w:r>
        <w:t>GE Cour de justice, 2013-05-30, FR</w:t>
      </w:r>
    </w:p>
    <w:p>
      <w:r>
        <w:rPr>
          <w:b/>
        </w:rPr>
        <w:t xml:space="preserve">Quelle: </w:t>
      </w:r>
      <w:r>
        <w:t>https://mcp.opencaselaw.ch/entscheid/ge_gerichte_ATAS_554_2013</w:t>
      </w:r>
    </w:p>
    <w:p>
      <w:r>
        <w:t>FR: GE_GERICHTE ATAS/554/2013 du 30 mai 2013</w:t>
      </w:r>
    </w:p>
    <w:p>
      <w:r>
        <w:t>IT: GE_GERICHTE ATAS/554/2013 del 30 maggio 2013</w:t>
      </w:r>
    </w:p>
    <w:p>
      <w:pPr>
        <w:pStyle w:val="Heading2"/>
      </w:pPr>
      <w:r>
        <w:t>Erwägungen</w:t>
      </w:r>
    </w:p>
    <w:p>
      <w:r>
        <w:rPr>
          <w:b/>
        </w:rPr>
        <w:t>E. 1</w:t>
      </w:r>
    </w:p>
    <w:p>
      <w:r>
        <w:t>Donne acte à l'intimé de ce qu'il accepte de comptabiliser 700 fr. par mois – soit 8'400 fr. par an - de dépenses complémentaires dans le calcul du droit aux prestations du recourant.</w:t>
      </w:r>
    </w:p>
    <w:p>
      <w:r>
        <w:rPr>
          <w:b/>
        </w:rPr>
        <w:t>E. 2</w:t>
      </w:r>
    </w:p>
    <w:p>
      <w:r>
        <w:t>Annule la décision du 8 mars 2013 et renvoie la cause à l'intimé pour nouvelle décision en ce sens.</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Marie-Catherine SECHAUD</w:t>
      </w:r>
    </w:p>
    <w:p>
      <w:r>
        <w:t>La Présidente :</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