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ATAS/554/2011 vom 26. Mai 2011</w:t>
      </w:r>
    </w:p>
    <w:p>
      <w:r>
        <w:t>GE Cour de justice, 2011-05-26, FR</w:t>
      </w:r>
    </w:p>
    <w:p>
      <w:r>
        <w:rPr>
          <w:b/>
        </w:rPr>
        <w:t xml:space="preserve">Quelle: </w:t>
      </w:r>
      <w:r>
        <w:t>https://mcp.opencaselaw.ch/entscheid/ge_gerichte_ATAS_554_2011</w:t>
      </w:r>
    </w:p>
    <w:p>
      <w:r>
        <w:t>FR: GE_GERICHTE ATAS/554/2011 du 26 mai 2011</w:t>
      </w:r>
    </w:p>
    <w:p>
      <w:r>
        <w:t>IT: GE_GERICHTE ATAS/554/2011 del 26 maggio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6 juin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3</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A/2512/2008 - 12/19 -</w:t>
      </w:r>
    </w:p>
    <w:p>
      <w:r>
        <w:rPr>
          <w:b/>
        </w:rPr>
        <w:t>E. 4</w:t>
      </w:r>
    </w:p>
    <w:p>
      <w:r>
        <w:t>Déposé dans les forme et délai prévus par la loi, le recours est recevable (art. 56 à 60 LPGA).</w:t>
      </w:r>
    </w:p>
    <w:p>
      <w:r>
        <w:rPr>
          <w:b/>
        </w:rPr>
        <w:t>E. 5</w:t>
      </w:r>
    </w:p>
    <w:p>
      <w:r>
        <w:t>Est litigieux le droit du recourant à des mesures professionnelles et à une rente d’invalidité de 50% au minimum.</w:t>
      </w:r>
    </w:p>
    <w:p>
      <w:r>
        <w:rPr>
          <w:b/>
        </w:rPr>
        <w:t>E. 6</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7</w:t>
      </w:r>
    </w:p>
    <w:p>
      <w:r>
        <w:t>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w:t>
      </w:r>
    </w:p>
    <w:p>
      <w:r>
        <w:t>A/2512/2008 - 13/19 -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w:t>
      </w:r>
    </w:p>
    <w:p>
      <w:r>
        <w:rPr>
          <w:b/>
        </w:rPr>
        <w:t>E. 9</w:t>
      </w:r>
    </w:p>
    <w:p>
      <w:r>
        <w:t>S'agissant de la valeur probante des rapports établis par les médecins traitants, le juge peut et doit tenir compte du fait que, selon l'expérience, le médecin traitant est généralement enclin, en cas de doute, à prendre parti pour son patient en raison de</w:t>
      </w:r>
    </w:p>
    <w:p>
      <w:r>
        <w:t>A/2512/2008 - 14/19 -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10</w:t>
      </w:r>
    </w:p>
    <w:p>
      <w:r>
        <w:t>En l’occurrence, figurent au dossier notamment un rapport d’expertise médicale de Dr L___________, des rapports du Dr Q___________, des avis médicaux de la SUVA et de la CRR, ainsi que plusieurs rapports d’examen du SMR.</w:t>
      </w:r>
    </w:p>
    <w:p>
      <w:r>
        <w:rPr>
          <w:b/>
        </w:rPr>
        <w:t>E. 11</w:t>
      </w:r>
    </w:p>
    <w:p>
      <w:r>
        <w:t>Dans son rapport d’expertise médicale le Dr L___________, chirurgie orthopédique FMH, décrit une anamnèse qui prend en compte les aspects socio-professionnels, les antécédents médico-chirurgicaux, l’anamnèse concernant l’accident. L’experte prend également en considération les plaintes actuelles, a procédé à un examen clinique limité aux membres supérieurs et à la colonne cervico-dorsale, compte tenu des lésions subies par le recourant. Cette expertise fait mention des diagnostics détaillés ainsi que d’une évaluation claire, notamment au sujet d’une reprise professionnelle. Enfin, l’experte répond clairement, en particulier, aux questions relatives aux influences sur la capacité de travail.</w:t>
      </w:r>
    </w:p>
    <w:p>
      <w:r>
        <w:t>Le Dr L___________ conclut au fait que tant sur le plan physique que psychique, mental et social, il n’y a pas de limitations qualitatives ou quantitatives susceptibles d’influencer la capacité de travail. Selon le Dr L___________, le recourant a une capacité résiduelle de 100% dans l’activité habituelle, a priori sans baisse de rendement. Le Dr L___________- relève enfin que si d’ici deux mois il n’y a pas de reprise de travail à 100%, une réadaptation professionnelle devra être envisagée.</w:t>
      </w:r>
    </w:p>
    <w:p>
      <w:r>
        <w:rPr>
          <w:b/>
        </w:rPr>
        <w:t>E. 12</w:t>
      </w:r>
    </w:p>
    <w:p>
      <w:r>
        <w:t>En octobre 2005, la CRR conclut au fait que la capacité de travail à 100% en novembre 2005 paraît réaliste, en précisant encore que dans une activité autre la capacité de travail serait pleine et entière.</w:t>
      </w:r>
    </w:p>
    <w:p>
      <w:r>
        <w:rPr>
          <w:b/>
        </w:rPr>
        <w:t>E. 13</w:t>
      </w:r>
    </w:p>
    <w:p>
      <w:r>
        <w:t>Pour sa part, le Dr Q___________ qui suit le recourant depuis le mois de septembre 2003, constate, dans son rapport du 3 mars 2006 à l’attention du médecin conseil de la SUVA, que le recourant fait preuve de ténacité et de volonté à travailler, ce qui l’a poussé à reprendre trop tôt son activité professionnelle à 50%. Constatant également l’absence de problématique psychologique, au niveau de l’humeur et au niveau de l’anxiété, le Dr Q___________ fait mention du fait que le recourant avait compris qu’il était nécessaire de se reconvertir et relève qu’il serait souhaitable qu’il soit toujours suivi en physiothérapie. Toutefois, à cette époque, le Dr Q___________ ne se prononce pas sur la capacité de travail du recourant. Lors de son audition, le Dr Q___________ évoque les limitations fonctionnelles du recourant et insiste sur le fait que son activité en qualité de ferblantier-couvreur n’est plus envisageable. Il relève, à cette occasion qu’une activité de conciergerie pourrait être envisagée, sans être persuadé qu’elle soit réalisable au-delà de 50%. A</w:t>
      </w:r>
    </w:p>
    <w:p>
      <w:r>
        <w:t>A/2512/2008 - 15/19 - nouveau, le Dr Q___________ ne se prononce pas, de façon claire, sur la capacité de travail du recourant.</w:t>
      </w:r>
    </w:p>
    <w:p>
      <w:r>
        <w:rPr>
          <w:b/>
        </w:rPr>
        <w:t>E. 14</w:t>
      </w:r>
    </w:p>
    <w:p>
      <w:r>
        <w:t>Se distançant des conclusions de l’expertise du Dr L___________ au sujet de la capacité résiduelle dans l’activité antérieure, le SMR, dans son avis médical sur opposition du 25 juillet 2006, s’aligne sur la décision de la SUVA en reconnaissant au recourant une capacité résiduelle de travail de 0% dans l’activité antérieure de ferblantier-couvreur et une capacité de travail résiduelle de 100% dans une activité adaptée aux limitations fonctionnelles reconnues. De plus, la comparaison des revenus effectuée aussi bien par le service de réadaptation de l’AI que par la SUVA aboutit à une conclusion identique, à savoir une perte de l’ordre de 35%. C’est d’ailleurs sur cette base que la SUVA a accordé par décision du 28 décembre 2007 une rente d’invalidité de 35% qui est toujours perçue par le recourant selon ses dires lors de son audition en comparution personnelle.</w:t>
      </w:r>
    </w:p>
    <w:p>
      <w:r>
        <w:rPr>
          <w:b/>
        </w:rPr>
        <w:t>E. 15</w:t>
      </w:r>
    </w:p>
    <w:p>
      <w:r>
        <w:t>Au vu de ce qui précède, bien qu’il allègue que sa capacité résiduelle de travail est de 50% dans une activité adaptée, la Cour retiendra que le recourant présente une pleine capacité de travail dans une activité adaptée à ses limitations fonctionnelles physiques.</w:t>
      </w:r>
    </w:p>
    <w:p>
      <w:r>
        <w:rPr>
          <w:b/>
        </w:rPr>
        <w:t>E. 16</w:t>
      </w:r>
    </w:p>
    <w:p>
      <w:r>
        <w:t>Il y a dès lors lieu de procéder à la comparaison des revenus avant et après invalidité pour déterminer son degré d'invalidité, comme l’ont d’ailleurs réalisée aussi bien la SUVA que l’intimé. a) 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Or, la révision au sens de l'art. 41 LAI ne saurait fonder une nouvelle évaluation inconditionnelle du droit à la rente (ATF 112 V 372 consid. 2b et 376 consid. 4; Meyer-Blaser, Bundesgesetz über die Invalidenversicherung (IVG), p. 253 sv, ad 41 LAI), soit sans que n'existe une modification de la situation ayant concrètement des effets sur la capacité de gain de l'assuré. b)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w:t>
      </w:r>
    </w:p>
    <w:p>
      <w:r>
        <w:t>A/2512/2008 - 16/19 - [SBVR], Soziale Sicherheit, Bâle, 1998, n° 77). Lorsque l'assuré ne reprend pas d'activité lucrative, la comparaison peut se faire au moyen de tabelles statistiques publiées par l'Office fédéral de la statistique (ATF 126 V 76 consid. 3a/bb et les références) S'agissant des statistiques, on se référera aux salaires bruts standardisés, en se fondant toujours sur la médiane ou valeur centrale (ATF 124 V 321).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est déterminante, pour le calcul du degré d'invalidité par la méthode de comparaison des revenus, le salaire basé sur l’ESS 2004 valeur centrale hommes, activités simples et répétitives. Pour le salaire sans invalidité, il convient de prendre en compte le revenu issu de la décision de l’OAI qui a été déterminé à 78’862 fr. par an par le service de réadaptation professionnelle selon les informations ressortant du dossier SUVA, informations qui ont abouti au versement d’une rente d’invalidité de 35%. Pour calculer le revenu avec invalidité, au regard du large éventail d’activités simples et répétitives que recouvrent les secteurs de la production et des services, on doit en effet convenir qu’un certain nombre d’entre elles sont légères et adaptées aux problèmes du recourant. Compte tenu de l’activité légère de substitution, on se référera au salaire statistique auquel pouvaient prétendre les hommes effectuant des activités simples en 2004, à savoir 4'771 fr. par mois ou 57’252 fr. par an Considérant le fait qu’une déduction spécifique pour tenir compte des limitations fonctionnelles du recourant a été opérée dans le cadre de l’estimation de sa capacité résiduelle de travail par la prise en considération d’une baisse de rendement, en l’occurrence 10%, ce qui aboutit à un revenu avec invalidité de 51’526 fr., une réduction supplémentaire n’est pas à retenir pour procéder à la déduction du salaire statistique. La comparaison du revenu avec invalidité avec le revenu sans invalidité (78’862 fr. – 51’526 fr. x 100 / 78’862 fr) conduit à un degré d’invalidité de 34,66% n’ouvrant pas droit à une rente de l’assurance-invalidité. Enfin, il convient de relever que la SUVA, procédant également à une comparaison des revenus, est arrivée pratiquement au même degré d’invalidité, soit à 34,58%, ouvrant le droit à une rente d’invalidité de 35%.</w:t>
      </w:r>
    </w:p>
    <w:p>
      <w:r>
        <w:t>A/2512/2008 - 17/19 - Au vu de ce qui précède, il y a lieu de constater que, sur la base de la comparaison des revenus, la décision de l'intimé est justifiée.</w:t>
      </w:r>
    </w:p>
    <w:p>
      <w:r>
        <w:rPr>
          <w:b/>
        </w:rPr>
        <w:t>E. 17</w:t>
      </w:r>
    </w:p>
    <w:p>
      <w:r>
        <w:t>Il reste à examiner si l’assuré peut prétendre à des mesures d’ordre professionnel Dans un arrêt du 3 février 2010 (9C_298/2009) le Tribunal fédéral a rappelé que la réadaptation a la priorité sur la rente dont l’octroi n’entre en ligne de compte que si une réadaptation suffisante est impossible (art. 7 al. LPGA ; ATF 121 V 190 consid. 4a et c p. 191 s. ; arrêt 9C_186/2009 du 29 juin 2009 consid. 3.2). Saisie d’une demande de rente ou appelée à se prononcer à l’occasion d’une révision de celle-ci, l’adminsitration doit donc élucider d’office, avant toute chose, la question de la réintégration de l’assuré dans le circuit économique (ATF 108 V 212,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 Le fait que l'assuré ne peut plus exercer sa profession antérieure ne suffit pas, à lui seul, pour fonder un droit à un reclassement. L'assuré n'a pas droit à des mesures de réadaptation s'il ne subit pas une perte de gain permanente ou de longue durée (20 % au moins) dans une activité raisonnablement exigible et pouvant être exercée sans autres mesures de réadaptation (ATF 124 V 110 consid. 2b et les références). En l’espèce, de la comparaison des revenus, il résulte un taux d’invalidité de 34,66% qui est supérieur au seuil minimum de 20% prévu par la jurisprudence pour ouvrir la droit à une mesure de réadaptation. Pour déterminer si une mesure est de nature à rétablir, améliorer, sauvegarder ou à favoriser l'usage de la capacité de gain d'un assuré, il convient d'effectuer un pronostic sur les chances de succès des mesures demandées (cf. ATF 132 V 221 consid. 3.2.2, ATF 110 V 101 consid. 2), qui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(art. 8 al. 1 LAI ; RCC 1970 p. 23, ATFA non publié du 2 février 2006, I 512/04, consid. 2.2.). Le droit à une mesure de réadaptation déterminée de l'assurance-invalidité présuppose qu'elle soit appropriée au but de réadaptation poursuivi par l'assurance- invalidité, et cela tant objectivement en ce qui concerne la mesure que</w:t>
      </w:r>
    </w:p>
    <w:p>
      <w:r>
        <w:t>A/2512/2008 - 18/19 -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Il sied de constater, en l’occurrence, que le stage d’observation auprès du Centre d’intégration professionnelle a été interrompu prématurément, le recourant affirmant ne pouvoir que travailler à 50% au maximum. En outre, le rapport du service de la réadaptation professionnelle fait état du fait que « les stages en entreprise ont échoué en raison du comportement de l’assuré qui se déclare incapable de travailler à plus de 50%. » Ce même rapport précise encore que « l’assuré n’étant pas d’accord avec notre exigibilité, des mesures professionnelles ne sont pas indiquées. » Considérant l’attitude du recourant et son absence de motivation, l’OAI a refusé des mesures d’ordre professionnel et a rappelé, à l’occasion de sa détermination du 23 novembre 2009, qu’il ne pouvait entrer en matière sur des mesures d’ordre professionnel que si l’assuré était motivé et prêt à se soumettre à une mesure basée sur une capacité de travail exigible de 100%, ce qui n’était pas le cas en l’espèce. De plus, l’OAI a confirmé ce refus de mesures d’ordre professionnel lors de la dernière audience de comparution personnelle. En conséquence, la Cour de céans ne retiendra pas, en faveur du recourant, un droit à des mesures de réadaptation</w:t>
      </w:r>
    </w:p>
    <w:p>
      <w:r>
        <w:rPr>
          <w:b/>
        </w:rPr>
        <w:t>E. 18</w:t>
      </w:r>
    </w:p>
    <w:p>
      <w:r>
        <w:t>Ainsi, le recours, mal fondé, sera rejeté. Le recourant qui succombe n'aura pas droit à des dépens. Il sera condamné à un émolument fixé à 200 fr. selon l'art. 69 al. 1bis LAI.</w:t>
      </w:r>
    </w:p>
    <w:p>
      <w:r>
        <w:t>A/2512/2008 - 19/19 -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