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ATAS/553/2016 vom 30. Juni 2016</w:t>
      </w:r>
    </w:p>
    <w:p>
      <w:r>
        <w:t>GE Cour de justice, 2016-06-30, FR</w:t>
      </w:r>
    </w:p>
    <w:p>
      <w:r>
        <w:rPr>
          <w:b/>
        </w:rPr>
        <w:t xml:space="preserve">Quelle: </w:t>
      </w:r>
      <w:r>
        <w:t>https://mcp.opencaselaw.ch/entscheid/ge_gerichte_ATAS_553_2016</w:t>
      </w:r>
    </w:p>
    <w:p>
      <w:r>
        <w:t>FR: GE_GERICHTE ATAS/553/2016 du 30 juin 2016</w:t>
      </w:r>
    </w:p>
    <w:p>
      <w:r>
        <w:t>IT: GE_GERICHTE ATAS/553/2016 del 30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18 décembre et le 2 janvier (art. 56 ss et 38 al. 4 let. c LGPA), sous réserve de ce qui suit.</w:t>
      </w:r>
    </w:p>
    <w:p>
      <w:r>
        <w:rPr>
          <w:b/>
        </w:rPr>
        <w:t>E. 3</w:t>
      </w:r>
    </w:p>
    <w:p>
      <w:r>
        <w:t>a. Dans la procédure juridictionnelle administrative, ne peuvent être examinés et jugés, en principe, que les rapports juridiques à propos desquels l’autorité</w:t>
      </w:r>
    </w:p>
    <w:p>
      <w:r>
        <w:t>A/17/2016 - 6/12 -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le recourant conclut de façon large à l'octroi des prestations de l'assurance-invalidité, en particulier d'une rente d'invalidité, et fait valoir qu’il ne pourrait reprendre une activité professionnelle adaptée qu’après des mesures de reclassement. Toutefois, la décision querellée ne se prononce que sur le droit à une rente d'invalidité. Partant, le droit à d'autres prestations, notamment aux mesures d'ordre professionnel, ne fait pas l'objet du litige. La conclusion du recourant tendant à l'octroi d'autres prestations qu'une rente d'invalidité n'est pas conséquent pas recevable. Toutefois, il lui est loisible de demander à l'intimé de se prononcer également sur le droit à des mesures d'ordre professionnel.</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A/17/2016 - 7/12 -</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le recourant a fait l’objet de deux expertises médicales. Le Dr D______ retient une fracture du plateau tibial externe avec discret enfoncement, une contusion et un hématome des tissus mous péri-articulaires du genou gauche et une lésion sous-chondrale du plateau tibial externe d’aspect dégénératif. En septembre 2011, soit un peu plus qu’une année après l’accident, il considère que l’incapacité de travail est justifiée en raison des douleurs, des troubles fonctionnels objectifs, tels que la démarche et les déficits fonctionnels, et de la profession. La</w:t>
      </w:r>
    </w:p>
    <w:p>
      <w:r>
        <w:t>A/17/2016 - 8/12 - reprise de l’ancienne activité paraît peu probable et un travail sédentaire est souhaitable. Un traitement médical pourrait améliorer le résultat de la guérison. Quant au Dr F______, il émet le diagnostic de gonalgies gauches sur gonarthrose modérée post-traumatique. Au moment de son expertise, en juin 2015, soit presque cinq ans après l’accident, la capacité de travail est totale dans l’activité habituelle ou dans une activité adaptée depuis août 2011. Il y a des limitations fonctionnelles pour porter des charges de plus de 25 kg, se mettre à genoux et monter ou descendre les échelles ou des échafaudages. Le recourant doit par ailleurs pouvoir changer de position toutes les deux heures. Cet expert relève en outre que le recourant n’a plus consulté de médecin depuis 2011 et qu’il ne prend qu’occasionnellement du Dafalgan. Il se plaint de gonalgies gauches augmentant avec le froid, une longue marche ou une station assise de plus de deux heures. Selon le Dr F______, l’examen clinique est parfaitement dans la norme. Aux dires des deux experts, le recourant présente donc une année après l’accident une capacité de travail totale, du moins dans une activité adaptée, à savoir un travail respectant les limitations fonctionnelles. Il n’y a aucun élément médical contraire mettant en cause les conclusions de ces expertises, lesquelles répondent au demeurant aux réquisits jurisprudentiels en la matière. En effet, elles ont été établies en connaissance du dossier médical complet, prennent en considération les plaintes du recourant, reposent sur des examens approfondis et arrivent à des conclusions claires et motivées. Il n’y a pas non plus une contradiction entre ces deux expertises, comme le recourant veut le faire croire, dès lors que le Dr D______ certifie uniquement une incapacité de travail dans l’activité habituelle, sans exclure pour autant une capacité de travail dans un travail sédentaire. Au contraire, il indique qu'entre autres, l'incapacité de travail est justifiée en raison de la profession du recourant, ce qui veut dire que dans une autre profession, une incapacité de travail ne pourrait pas être admise. Il précise également qu’un travail assis serait souhaitable. Quant au Dr F______, il admet une capacité de travail dans l'ancienne activité que pour autant que les limitations fonctionnelles puissent être respectées. Il convient en outre de relever que, dans les cinq ans qui ont suivi l’accident, la situation a encore évolué vers le mieux. En effet, selon le Dr F______, le recourant se déplace sans difficulté et monte les escaliers avec facilité. Il n’y a plus d’amyotrophie du périmètre des cuisses et mollets, alors que le Dr D______ a constaté en septembre 2011 une discrète amyotrophie. Enfin, le recourant ne prend qu’épisodiquement un antidouleur et ne consulte plus aucun médecin en raison des problèmes de son genou. Ces éléments permettent de retenir qu’il ne souffre qu’occasionnellement de douleurs et qu’il utilise normalement sa jambe gauche. Les avis des médecins traitants rejoignent les conclusions des experts. Ainsi, le Dr C______ fixe la reprise de travail à 100% à partir du 14 février 2011 déjà et la Dresse E______ déclare que la capacité de travail est totale dans une activité</w:t>
      </w:r>
    </w:p>
    <w:p>
      <w:r>
        <w:t>A/17/2016 - 9/12 - adaptée. Selon cette praticienne, la demande de prestations de l'assurance-invalidité ne tend qu'à obtenir le cas échéant des mesures d'ordre professionnel. Les conclusions des expertises emportent par conséquent la conviction de la chambre de céans, de sorte qu’une capacité de travail totale doit être retenue, du moins dans une activité adaptée.</w:t>
      </w:r>
    </w:p>
    <w:p>
      <w:r>
        <w:rPr>
          <w:b/>
        </w:rPr>
        <w:t>E. 10</w:t>
      </w:r>
    </w:p>
    <w:p>
      <w:r>
        <w:t>Quant à la question de savoir si le recourant pourrait reprendre sa précédente activité ou s'il doit changer d'activité, elle peut rester ouverte. En effet, dans les deux hypothèses, la perte de gain et par conséquent le degré d'invalidité sont identiques, comme cela ressort de ce qui suit.</w:t>
      </w:r>
    </w:p>
    <w:p>
      <w:r>
        <w:rPr>
          <w:b/>
        </w:rPr>
        <w:t>E. 11</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Avant 2012, il convient dans ce cas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A/17/2016 - 10/12 -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323, consid. 4.1).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consid. 3.4). Le raisonnement à l’origine de cette jurisprudence est le suivant : si un assuré en bonne santé réalise un revenu nettement inférieur à la moyenne, en raison de sa situation personnelle qui l’empêche d’obtenir un revenu moyen, il n’y a pas lieu de penser que, atteint dans sa santé, cet assuré pourrait réaliser proportionnellement un revenu en ligne avec la moyenne statistique. Cette jurisprudence qui permet de « paralléliser » les revenus tient en substance compte du fait qu’un assuré qui en bonne santé réalise un revenu nettement inférieur à la moyenne ne pourra</w:t>
      </w:r>
    </w:p>
    <w:p>
      <w:r>
        <w:t>A/17/2016 - 11/12 - vraisemblablement pas, une fois invalide, réaliser le revenu statistique (ATF 135 V 58, consid. 3.4.3).</w:t>
      </w:r>
    </w:p>
    <w:p>
      <w:r>
        <w:rPr>
          <w:b/>
        </w:rPr>
        <w:t>E. 12</w:t>
      </w:r>
    </w:p>
    <w:p>
      <w:r>
        <w:t>a. En l'occurrence, il ne fait pas de doute que bon nombre de professions, accessibles sans formation professionnelle, respectent les limitations fonctionnelles du recourant. b. L'intimé fonde son calcul, pour le salaire d'invalide, sur le salaire médian afférant aux activités simples et répétitives ressortant des ESS 2010, indexés à 2011 et adaptés à la durée normale hebdomadaire de travail, tout en procédant à un abattement de 10% de ces salaires pour tenir compte des limitations professionnelles. Le salaire d'invalide ainsi déterminé, de CHF 55'560.-, est supérieur de 23% au salaire de CHF 42'739.- réalisé par le recourant avant son accident. Le recourant reproche à l'intimé d'avoir retenu les salaires statistiques et non pas les salaires pratiqués dans le canton de Genève pour des activités précises qui devraient être déterminées préalablement par la voie des mesures d'ordre professionnel. Comme exposé ci-dessus, il n'est en principe pas critiquable de prendre en considération des salaires statistiques à titre de salaire d'invalide, lorsque l'assuré n'a pas repris une activité professionnelle. Se pose toutefois la question de savoir s'il y a lieu d'effectuer un parallélisme des revenus avec et sans invalidité, conformément à la jurisprudence. Toutefois, cette question peut rester ouverte, dès lors qu'il appert que même en prenant en considération le même revenu pour la comparaison, la perte de gain ne s'élèverait qu'à 10%, compte tenu de l'abattement opéré par l'intimé. Il n'y a par ailleurs pas lieu d'admettre un abattement supérieur à 10%, le recourant étant encore relativement jeune et présentant, somme toute, des limitations fonctionnelles relativement légères. Or, un taux d'invalidité de 10% n'ouvre pas le droit à une rente d'invalidité.</w:t>
      </w:r>
    </w:p>
    <w:p>
      <w:r>
        <w:rPr>
          <w:b/>
        </w:rPr>
        <w:t>E. 13</w:t>
      </w:r>
    </w:p>
    <w:p>
      <w:r>
        <w:t>Le recours sera ainsi rejeté.</w:t>
      </w:r>
    </w:p>
    <w:p>
      <w:r>
        <w:rPr>
          <w:b/>
        </w:rPr>
        <w:t>E. 14</w:t>
      </w:r>
    </w:p>
    <w:p>
      <w:r>
        <w:t>Dans la mesure où le recourant est soutenu par l’Hospice général, la chambre de céans renonce à percevoir un émolument de justice.</w:t>
      </w:r>
    </w:p>
    <w:p>
      <w:r>
        <w:t>***</w:t>
      </w:r>
    </w:p>
    <w:p>
      <w:r>
        <w:t>A/17/2016 - 12/12 -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