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ATAS/552/2024 vom 2. Juli 2024</w:t>
      </w:r>
    </w:p>
    <w:p>
      <w:r>
        <w:t>GE Cour de justice, 2024-07-02, FR</w:t>
      </w:r>
    </w:p>
    <w:p>
      <w:r>
        <w:rPr>
          <w:b/>
        </w:rPr>
        <w:t xml:space="preserve">Quelle: </w:t>
      </w:r>
      <w:r>
        <w:t>https://mcp.opencaselaw.ch/entscheid/ge_gerichte_ATAS_552_2024</w:t>
      </w:r>
    </w:p>
    <w:p>
      <w:r>
        <w:t>FR: GE_GERICHTE ATAS/552/2024 du 2 juillet 2024</w:t>
      </w:r>
    </w:p>
    <w:p>
      <w:r>
        <w:t>IT: GE_GERICHTE ATAS/552/2024 del 2 luglio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les modifications de la LAI du 19 juin 2020 (développement continu de l’AI ; RO 2021 705) ainsi que celles du</w:t>
      </w:r>
    </w:p>
    <w:p>
      <w:r>
        <w:rPr>
          <w:b/>
        </w:rPr>
        <w:t>E. 3</w:t>
      </w:r>
    </w:p>
    <w:p>
      <w:r>
        <w:t>Le litige porte sur le droit de la recourante à une rente d’invalidité de la part de l’intimé, étant rappelé qu’une telle prestation lui a été niée par décision du 9 novembre 2017, entrée en force, et qu’une nouvelle demande a été enregistrée le 20 décembre 2019.</w:t>
      </w:r>
    </w:p>
    <w:p>
      <w:r>
        <w:rPr>
          <w:b/>
        </w:rPr>
        <w:t>E. 3.1</w:t>
      </w:r>
    </w:p>
    <w:p>
      <w:r>
        <w:t>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RAI).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 ; 109 V 114 consid. 2a et b).</w:t>
      </w:r>
    </w:p>
    <w:p>
      <w:r>
        <w:rPr>
          <w:b/>
        </w:rPr>
        <w:t>E. 3.2</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w:t>
      </w:r>
    </w:p>
    <w:p>
      <w:r>
        <w:t>A/4057/2023 - 13/24 -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3.3</w:t>
      </w:r>
    </w:p>
    <w:p>
      <w:r>
        <w:t>Les atteintes à la santé psychique peuvent, comme les atteintes physiques, entraîner une invalidité au sens de l'art. 4 al. 1 LAI en liaison avec l'art. 8 LPGA.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w:t>
      </w:r>
    </w:p>
    <w:p>
      <w:r>
        <w:t>A/4057/2023 - 14/24 -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On rappellera que pour évaluer le taux d'invalidité, il existe principalement trois méthodes : la méthode générale de comparaison des revenus, la méthode spécifique et la méthode mixte, dont l'application dépend du statut du bénéficiaire potentiel de la rente : assuré exerçant une activité lucrative à temps complet, assuré non actif, assuré exerçant une activité lucrative à temps partiel (ATF 137 V 334 consid. 3.1). 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w:t>
      </w:r>
    </w:p>
    <w:p>
      <w:r>
        <w:t>A/4057/2023 - 15/24 -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3.5</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w:t>
      </w:r>
    </w:p>
    <w:p>
      <w:r>
        <w:t>A/4057/2023 - 16/24 -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 du Tribunal fédéral 9C_625/2017 du 26 mars 2018 consid. 6.2 et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w:t>
      </w:r>
    </w:p>
    <w:p>
      <w:r>
        <w:t>A/4057/2023 - 17/24 -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w:t>
      </w:r>
    </w:p>
    <w:p>
      <w:r>
        <w:rPr>
          <w:b/>
        </w:rPr>
        <w:t>E. 3.6</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Cela signifie que les appréciations médicales doivent se référer également aux différentes tâches domestiques et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(arrêts du Tribunal fédéral 9C_657/2021 du 22 novembre 2022 consid. 5.2 ; 8C_671/2007 du 13 juin 2008 consid. 3.2.2 et les arrêts cités).</w:t>
      </w:r>
    </w:p>
    <w:p>
      <w:r>
        <w:rPr>
          <w:b/>
        </w:rPr>
        <w:t>E. 3.7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A/4057/2023 - 18/24 -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3.8</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w:t>
      </w:r>
    </w:p>
    <w:p>
      <w:r>
        <w:t>A/4057/2023 - 19/24 -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w:t>
      </w:r>
    </w:p>
    <w:p>
      <w:r>
        <w:t>A/4057/2023 - 20/24 -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3.9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A/4057/2023 - 21/24 -</w:t>
      </w:r>
    </w:p>
    <w:p>
      <w:r>
        <w:rPr>
          <w:b/>
        </w:rPr>
        <w:t>E. 4</w:t>
      </w:r>
    </w:p>
    <w:p>
      <w:r>
        <w:t>En l’espèce, la recourante conteste le statut de personne non active retenu dans la décision litigieuse, ainsi que les évaluations de son degré d’invalidité dans les parts professionnelle et ménagère.</w:t>
      </w:r>
    </w:p>
    <w:p>
      <w:r>
        <w:rPr>
          <w:b/>
        </w:rPr>
        <w:t>E. 4.1</w:t>
      </w:r>
    </w:p>
    <w:p>
      <w:r>
        <w:t>L’intimé a admis, dans le cadre de la présente procédure, qu’il convenait de reconnaître à la recourante un statut mixte, comprenant des parts professionnelle et ménagère de 40%, respectivement 60%, de sorte que ce point n’est plus litigieux.</w:t>
      </w:r>
    </w:p>
    <w:p>
      <w:r>
        <w:rPr>
          <w:b/>
        </w:rPr>
        <w:t>E. 4.2</w:t>
      </w:r>
    </w:p>
    <w:p>
      <w:r>
        <w:t>S’agissant de l’incapacité dans la sphère professionnelle, l’intimé n’a pas procédé à une instruction médicale approfondie, au vu du statut retenu à tort. La chambre de céans constate que les pièces du dossier ne permettent pas de se déterminer sur la capacité de travail de la recourante dans son activité habituelle de nettoyeuse, ni dans une activité adaptée.</w:t>
      </w:r>
    </w:p>
    <w:p>
      <w:r>
        <w:rPr>
          <w:b/>
        </w:rPr>
        <w:t>E. 4.2.1</w:t>
      </w:r>
    </w:p>
    <w:p>
      <w:r>
        <w:t>En effet, l’avis du 23 mai 2023 du SMR est lacunaire, insuffisamment motivé et ne procède pas à une analyse fouillée des rapports au dossier. La chambre de céans observe tout d’abord que le Dr J______ n’a pas exposé les raisons pour lesquelles il retenait que l’incapacité durable de travail remontait au 24 février 2020. Il a uniquement mentionné à ce propos se référer au rapport du Dr C______, rendu à cette date. Or, dans ce document, le médecin traitant a attesté d’une aggravation de l’état de santé de sa patiente à partir de 2018, avec l’apparition notamment d’une dyspnée à l’effort au mois de mars 2018 et les fractures des deux coudes, qui avaient nécessité un long traitement avec des plâtres et l’impossibilité d’utiliser des cannes, pourtant nécessaires pour soulager le genou gauche, dont les troubles s’étaient également aggravés. Dans ces circonstances, la date retenue pour fixer le début de l’incapacité de travail ne peut pas être confirmée. Il sera également rappelé que le rapport des HUG du 10 mars 2022 mentionne que le profil tensionnel plutôt bas justifiait l’adaptation du traitement, et que la technique d’injection de la patiente pouvait, comme l’alimentation, être la cause du déséquilibre glycémique. Ces éléments auraient dû inciter le SMR à solliciter de nouvelles informations de la part du médecin traitant de la recourante, afin de déterminer si le diabète, mal équilibré et qui avait contribué à l’hospitalisation de l’intéressée, avait pu être contrôlé. La chambre de céans relève en outre que le Dr J______ a considéré que l’atteinte principale à la santé était le trouble dépressif récurrent, épisode actuel moyen (F33.1) et a conclu à une incapacité de travail de 50%, conformément aux conclusions du Dr I______. Or, le SMR n’a retenu aucune limitation fonctionnelle sur le plan psychique, si ce n’est l’exigence de travailler dans une activité « simple », ce qui est difficilement compréhensible, au vu des nombreuses restrictions énumérées par le psychiatre susmentionné.</w:t>
      </w:r>
    </w:p>
    <w:p>
      <w:r>
        <w:t>A/4057/2023 - 22/24 - Elle constate ensuite, sur le plan somatique, que les diagnostics retenus par le SMR sont incomplets, voire erronés. En effet, il a signalé, à titre de pathologies du ressort de l’assurance-invalidité, une gonarthrose prédominant à gauche, un status post fractures des deux têtes radiales et un diabète traité. Ce document ne fait ainsi aucune référence au trouble de la marche et de l’équilibre rapporté par les HUG suite au séjour de l’intéressée, du 21 février au 2 mars 2022, alors que celle-ci a été victime de plusieurs chutes, dont l’une a entraîné les fractures au niveau des deux coudes. Il ne mentionne qu’implicitement la gonarthrose du genou droit, pour laquelle la mise en place d’une prothèse a pourtant été évoquée, et ne prend pas en considération le fait que le diabète, sévère, est mal équilibré. Il ne fait pas état de la dysfonction diastolique, ni de l’hypotension orthostatique, ni des vertiges, ni des douleurs articulaires, notamment aux bras. Concernant les limitations fonctionnelles, le Dr J______ a considéré que seule pouvait être exercée une activité simple, légère, sédentaire, principalement en position assise, permettant l’alternance des positions, sans manipulation répétée de charges de plus de 5 kg. Sans la moindre explication, les contre-indications qui avaient été retenues en 2017 en lien avec la gonarthrose gauche, soit la marche prolongée, les positions prolongées à genoux, accroupie et debout, n’ont pas été reprises, ce qui ne s’explique pas, ce d’autant plus que la recourante présente désormais une atteinte similaire à droite, laquelle est susceptible de justifier la mise en place d’une prothèse en cas d’aggravation des douleurs. De plus, le médecin traitant a fait état de limitations fonctionnelles sévères des deux bras suite aux fractures des coudes et constaté que sa patiente présentait des difficultés pour se déshabiller. Le médecin du SMR a écarté ces plaintes et restrictions sans aucune justification.</w:t>
      </w:r>
    </w:p>
    <w:p>
      <w:r>
        <w:rPr>
          <w:b/>
        </w:rPr>
        <w:t>E. 4.2.2</w:t>
      </w:r>
    </w:p>
    <w:p>
      <w:r>
        <w:t>S’agissant des autres pièces au dossier, elles ne permettent pas non plus de statuer sur la capacité de travail de la recourante. Le rapport du 9 mai 2023 du Dr I______ ne contient pas une analyse minutieuse des divers indicateurs développés par la jurisprudence et ses conclusions ne sont pas convaincantes. Il n’a notamment livré aucune argumentation s’agissant de la capacité de travail exigible retenue, alors qu’il a fait état de nombreuses limitations fonctionnelles, comme des troubles importants de la concentration, de l’attention et de la mémoire, un ralentissement psychomoteur, des difficultés de planification, d’organisation et d’exécution des tâches complexes. Les angoisses et les ruminations avaient un impact important pour les activités professionnelles. Il a relevé une atteinte importante au fonctionnement individuel, familial et social, avec une diminution sévère de l’élan vital et de la volition, et un retrait social. Hormis son mari, sa belle-sœur et ses fils, sur lesquels l’intéressée pouvait compter, son réseau social était plutôt restreint, et elle n’avait pas d’activités habituelles. Il est en outre surprenant que ce médecin a retenu que la capacité de travail de l’intéressée, compliante avec son traitement, qui présentait une</w:t>
      </w:r>
    </w:p>
    <w:p>
      <w:r>
        <w:t>A/4057/2023 - 23/24 - « évolution clinique plutôt stable », « sans réelle amélioration de la symptomatologie dépressive », pourrait « possiblement » évoluer jusqu’à 100%. Quant aux rapports du Dr C______, ils ne font pas état d’examens objectifs complets et ils ne permettent pas de se déterminer sur le volet psychiatrique, lacunaire.</w:t>
      </w:r>
    </w:p>
    <w:p>
      <w:r>
        <w:rPr>
          <w:b/>
        </w:rPr>
        <w:t>E. 4.3</w:t>
      </w:r>
    </w:p>
    <w:p>
      <w:r>
        <w:t>En ce qui concerne l’incapacité dans la sphère ménagère, aucune valeur probante ne saurait être reconnue au rapport d’enquête, lequel n’a pas été établi en pleine connaissance des empêchements et handicaps résultant des diagnostics, puisque l’infirmière s’est fondée sur le rapport du SMR qui ne tient pas compte des limitations fonctionnelles au niveau psychique et omet de nombreuses atteintes somatiques. Les rapports du Dr C______ sont également insuffisants pour se déterminer sur la capacité de la recourante à accomplir les travaux habituels, étant notamment rappelé que le médecin-traitant ne s’est pas prononcé à ce propos en regard des différentes tâches. Il n’a pas non plus précisé les diagnostics et limitations fonctionnelles l’ayant mené à conclure que le mari de la recourante était incapable de l’aider dans la tenue du ménage.</w:t>
      </w:r>
    </w:p>
    <w:p>
      <w:r>
        <w:rPr>
          <w:b/>
        </w:rPr>
        <w:t>E. 4.4</w:t>
      </w:r>
    </w:p>
    <w:p>
      <w:r>
        <w:t>Il convient en conséquence de renvoyer la cause à l’intimé afin qu’il complète l’instruction médicale et ordonne une nouvelle enquête économique sur le ménage, afin de déterminer la capacité de travail résiduelle de la recourante, ainsi que sa capacité à accomplir les travaux ménagers, en examinant à nouveau dans quelle mesure l’intéressée peut solliciter l’aide de sa famille, en particulier de son mari, étant observé que le Dr C______ a fait état de limitations fonctionnelles plus importantes que celles mentionnées dans le rapport d’enquête. Cela fait, il incombera à l’intimé de calculer le degré d’invalidité en application de la méthode mixte et de rendre une nouvelle décision. Enfin, l’intimé devra prendre en compte l’âge de la recourante, étant rappelé que le moment déterminant à cet égard est celui où les documents médicaux permettent d’établir de manière fiable la capacité de travail résiduelle. En l’occurrence, cette dernière n’a à ce stade pas été déterminée et la recourante est désormais âgée de 61 ans.</w:t>
      </w:r>
    </w:p>
    <w:p>
      <w:r>
        <w:rPr>
          <w:b/>
        </w:rPr>
        <w:t>E. 5</w:t>
      </w:r>
    </w:p>
    <w:p>
      <w:r>
        <w:t>Au vu de ce qui précède, le recours sera partiellement admis, la décision du 2 novembre 2023 annulée et le dossier renvoyé à l’intimé pour reprise de l’instruction et nouvelle décision.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A/4057/2023 - 24/24 -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