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ATAS/552/2019 vom 20. Juni 2019</w:t>
      </w:r>
    </w:p>
    <w:p>
      <w:r>
        <w:t>GE Cour de justice, 2019-06-20, FR</w:t>
      </w:r>
    </w:p>
    <w:p>
      <w:r>
        <w:rPr>
          <w:b/>
        </w:rPr>
        <w:t xml:space="preserve">Quelle: </w:t>
      </w:r>
      <w:r>
        <w:t>https://mcp.opencaselaw.ch/entscheid/ge_gerichte_ATAS_552_2019</w:t>
      </w:r>
    </w:p>
    <w:p>
      <w:r>
        <w:t>FR: GE_GERICHTE ATAS/552/2019 du 20 juin 2019</w:t>
      </w:r>
    </w:p>
    <w:p>
      <w:r>
        <w:t>IT: GE_GERICHTE ATAS/552/2019 del 20 giugno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A/2881/2018 ATAS/552/2019 COUR DE JUSTICE Chambre des assurances sociales Arrêt du 20 juin 2019 3ème Chambre</w:t>
      </w:r>
    </w:p>
    <w:p>
      <w:r>
        <w:t>En la cause Monsieur A______, domicilié à MEYRIN recourant</w:t>
      </w:r>
    </w:p>
    <w:p>
      <w:r>
        <w:t>contre OFFICE DE L'ASSURANCE-INVALIDITE DU CANTON DE GENEVE, Service juridique, sis rue des Gares 12, GENÈVE intimé</w:t>
      </w:r>
    </w:p>
    <w:p>
      <w:r>
        <w:t>A/2881/2018 - 2/2 - Vu la décision du 15 mai 2018 de l’Office de l’assurance-invalidité (ci-après : OAI), reconnaissant à Monsieur A______ (ci-après : l’assuré) le droit à une rente entière d’invalidité d’un montant de 721.- CHF/mois à partir du 1er mars 2016 ; Vu l’opposition formulée au guichet de l’OAI par l’assuré en date du 12 juin 2018, transmise à la Cour de céans comme objet de sa compétence ; Vu l’écriture de l’assuré du 21 août 2018, confirmant son intention de contester la décision du 15 mai 2018 ; Vu la réponse de l’intimé du 22 octobre 2018 ; Vu l'audience de comparution personnelle des parties du 20 juin 2019 ; Attendu qu'à l’issue de cette audience, l’assuré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