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ATAS/552/2009 vom 3. September 2008</w:t>
      </w:r>
    </w:p>
    <w:p>
      <w:r>
        <w:t>GE Cour de justice, 2008-09-03, FR</w:t>
      </w:r>
    </w:p>
    <w:p>
      <w:r>
        <w:rPr>
          <w:b/>
        </w:rPr>
        <w:t xml:space="preserve">Quelle: </w:t>
      </w:r>
      <w:r>
        <w:t>https://mcp.opencaselaw.ch/entscheid/ge_gerichte_ATAS_552_2009</w:t>
      </w:r>
    </w:p>
    <w:p>
      <w:r>
        <w:t>FR: GE_GERICHTE ATAS/552/2009 du 3 septembre 2008</w:t>
      </w:r>
    </w:p>
    <w:p>
      <w:r>
        <w:t>IT: GE_GERICHTE ATAS/552/2009 del 3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cantonal des assurances sociales statue en instance unique conformément à l'art. 22 de la loi fédérale sur les allocations familiales du 24 mars 2006 (LAFam) en matière d'allocations familiales fédérales et conformément à l'art. 56 V al. 2 let. e LOJ en matière d'allocations familiales cantonales (LOJ). Sa compétence pour juger du cas d’espèce est ainsi établie.</w:t>
      </w:r>
    </w:p>
    <w:p>
      <w:r>
        <w:rPr>
          <w:b/>
        </w:rPr>
        <w:t>E. 2</w:t>
      </w:r>
    </w:p>
    <w:p>
      <w:r>
        <w:t>Déposé dans les forme et délai prévus par la loi, le présent recours est recevable (art. 38 al. 1 LAF).</w:t>
      </w:r>
    </w:p>
    <w:p>
      <w:r>
        <w:rPr>
          <w:b/>
        </w:rPr>
        <w:t>E. 3</w:t>
      </w:r>
    </w:p>
    <w:p>
      <w:r>
        <w:t>En l'espèce, le SCAF a proposé l'admission du recours en ce sens que le droit aux allocations familiales peut être reconnu à l'intéressé à compter du 1er juin 2006 conformément à l'art. 12 LAF.</w:t>
      </w:r>
    </w:p>
    <w:p>
      <w:r>
        <w:rPr>
          <w:b/>
        </w:rPr>
        <w:t>E. 4</w:t>
      </w:r>
    </w:p>
    <w:p>
      <w:r>
        <w:t>Il convient d'en prendre acte et d'admettre le recours.</w:t>
      </w:r>
    </w:p>
    <w:p>
      <w:r>
        <w:t>A/4596/2008 - 3/3 -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