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ATAS/552/2008 vom 7. Mai 2008</w:t>
      </w:r>
    </w:p>
    <w:p>
      <w:r>
        <w:t>GE Cour de justice, 2008-05-07, FR</w:t>
      </w:r>
    </w:p>
    <w:p>
      <w:r>
        <w:rPr>
          <w:b/>
        </w:rPr>
        <w:t xml:space="preserve">Quelle: </w:t>
      </w:r>
      <w:r>
        <w:t>https://mcp.opencaselaw.ch/entscheid/ge_gerichte_ATAS_552_2008</w:t>
      </w:r>
    </w:p>
    <w:p>
      <w:r>
        <w:t>FR: GE_GERICHTE ATAS/552/2008 du 7 mai 2008</w:t>
      </w:r>
    </w:p>
    <w:p>
      <w:r>
        <w:t>IT: GE_GERICHTE ATAS/552/2008 del 7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La compétence du Tribunal de céans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Mme B_________ présente une atteinte à la santé invalidante dans le ménage, ouvrant le droit aux prestations d'invalidité.</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w:t>
      </w:r>
    </w:p>
    <w:p>
      <w:r>
        <w:t>A/312/2008 - 5/8 - physique, mentale ou psychique (art. 6 LPGA). L'invalidité d'un assuré qui n'exerce pas d'activité lucrative et dont on ne peut raisonnablement exiger qu'il en entreprenne une est évaluée, en dérogation de la méthode ordinaire de comparaison des revenus, en fonction de l'incapacité d'accomplir ses travaux habituels. Par travaux habituels d'une personne travaillant dans le ménage, il faut entendre notamment l'activité usuelle dans le ménage, l'éducation des enfants ainsi que toute activité artistique ou d'utilité publique. C'est la méthode spécifique (art. 28 al. 2bis LAI en corrélation avec les art. 27 RAI et 8 al. 3 LPGA; ATFA du 20 avril 2007, I 288/06).</w:t>
      </w:r>
    </w:p>
    <w:p>
      <w:r>
        <w:rPr>
          <w:b/>
        </w:rPr>
        <w:t>E. 5</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BLANC, La procédure administrative en assurance-invalidité, thèse Fribourg 1999, p. 142). Lors de</w:t>
      </w:r>
    </w:p>
    <w:p>
      <w:r>
        <w:t>A/312/2008 - 6/8 -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w:t>
      </w:r>
    </w:p>
    <w:p>
      <w:r>
        <w:rPr>
          <w:b/>
        </w:rPr>
        <w:t>E. 8</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9</w:t>
      </w:r>
    </w:p>
    <w:p>
      <w:r>
        <w:t>En l'espèce, il ressort du dossier que les médecins consultés, à savoir la Dresse L_________ et la Dresse N_________, ont diagnostiqué un trouble dépressif, épisode sévère sans symptôme psychotique. Ce dernier médecin a ajouté également un trouble de la personnalité sans précision. Ces diagnostics ne sont contestés par aucun autre médecin qui a examiné la recourante. Néanmoins, en dépit de ces diagnostics, lesquels peuvent aussi être handicapants dans le ménage, et sans procéder à un examen de la recourante par le SMR ou un</w:t>
      </w:r>
    </w:p>
    <w:p>
      <w:r>
        <w:t>A/312/2008 - 7/8 - expert et sans mettre en œuvre une enquête sur le ménage, l'intimé a rejeté sans autre la demande. Il est à mentionner à cet égard que même le médecin du SMR, le Dr O_________, a estimé qu'il était nécessaire de procéder à une enquête. Il résulte de ce qui précède que le dossier est manifestement mal instruit. Il convient par conséquent de retourner la cause à l'OCAI pour instruction complémentaire par une expertise psychiatrique et une enquête sur le ménage.</w:t>
      </w:r>
    </w:p>
    <w:p>
      <w:r>
        <w:rPr>
          <w:b/>
        </w:rPr>
        <w:t>E. 10</w:t>
      </w:r>
    </w:p>
    <w:p>
      <w:r>
        <w:t>Le Tribunal de céans ajoutera enfin qu'au cas où l'intimé devait juger que la recourante se soustrait, s'oppose ou ne participe pas spontanément à un traitement exigible et susceptible d'améliorer notablement sa capacité de travail, une réduction ou un refus de prestation ne pourrait être envisagé que moyennant respect de la procédure prescrite à l'art. 21 al. 4 LPGA.</w:t>
      </w:r>
    </w:p>
    <w:p>
      <w:r>
        <w:rPr>
          <w:b/>
        </w:rPr>
        <w:t>E. 11</w:t>
      </w:r>
    </w:p>
    <w:p>
      <w:r>
        <w:t>Au vu de ce qui précède, le recours sera admis et la cause renvoyée à l'intimé pour instruction complémentaire au sens des considérants et, ceci fait, nouvelle décision.</w:t>
      </w:r>
    </w:p>
    <w:p>
      <w:r>
        <w:rPr>
          <w:b/>
        </w:rPr>
        <w:t>E. 12</w:t>
      </w:r>
    </w:p>
    <w:p>
      <w:r>
        <w:t>L'intimé qui succombe sera condamné à un émolument de justice de 500 fr. (art. 69 al. 1bis LAI).</w:t>
      </w:r>
    </w:p>
    <w:p>
      <w:r>
        <w:t>A/312/2008 - 8/8 -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