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ATAS/551/2024 vom 2. Juli 2024</w:t>
      </w:r>
    </w:p>
    <w:p>
      <w:r>
        <w:t>GE Cour de justice, 2024-07-02, FR</w:t>
      </w:r>
    </w:p>
    <w:p>
      <w:r>
        <w:rPr>
          <w:b/>
        </w:rPr>
        <w:t xml:space="preserve">Quelle: </w:t>
      </w:r>
      <w:r>
        <w:t>https://mcp.opencaselaw.ch/entscheid/ge_gerichte_ATAS_551_2024</w:t>
      </w:r>
    </w:p>
    <w:p>
      <w:r>
        <w:t>FR: GE_GERICHTE ATAS/551/2024 du 2 juillet 2024</w:t>
      </w:r>
    </w:p>
    <w:p>
      <w:r>
        <w:t>IT: GE_GERICHTE ATAS/551/2024 del 2 luglio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Lorsque le délai échoit un samedi, un dimanche ou un jour férié selon le droit fédéral ou cantonal, son terme est reporté au premier jour ouvrable qui suit (art. 38 al. 3 LPGA et 17 al. 3 LPA). En l’espèce, la décision litigieuse du 8 juin 2023 a été reçue le lendemain, de sorte que le délai de recours a commencé à courir le 10 juin 2023 et est arrivé à échéance le dimanche 9 juillet 2023, avec un report de son terme au lundi 10 juillet 2023. Interjeté dans la forme et le délai prévus par la loi, le recours est recevable.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2022, les modifications du 19 juin 2020 de la LAI sont entrées en vigueur (développement de l’AI ; RO 2021 705) ainsi que celles du</w:t>
      </w:r>
    </w:p>
    <w:p>
      <w:r>
        <w:rPr>
          <w:b/>
        </w:rPr>
        <w:t>E. 3</w:t>
      </w:r>
    </w:p>
    <w:p>
      <w:r>
        <w:t>Le litige porte sur le bien-fondé de la décision du 10 juillet 2023, par laquelle l’intimé a diminué l’allocation pour impotent du recourant, celle-ci passant d’un degré moyen à un degré faible.</w:t>
      </w:r>
    </w:p>
    <w:p>
      <w:r>
        <w:rPr>
          <w:b/>
        </w:rPr>
        <w:t>E. 4</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w:t>
      </w:r>
    </w:p>
    <w:p>
      <w:r>
        <w:rPr>
          <w:b/>
        </w:rPr>
        <w:t>E. 4.1</w:t>
      </w:r>
    </w:p>
    <w:p>
      <w:r>
        <w:t>Selon l’art. 9 LPGA, est réputée impotente toute personne qui, en raison d’une atteinte à sa santé, a besoin de façon permanente de l’aide d’autrui ou d’une surveillance personnelle pour accomplir des actes élémentaires de la vie quotidienne.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À teneur de l’art. 42 al. 2 LAI, l’impotence peut être grave, moyenne ou faible.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w:t>
      </w:r>
    </w:p>
    <w:p>
      <w:r>
        <w:rPr>
          <w:b/>
        </w:rPr>
        <w:t>E. 4.1.1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A/2303/2023 - 12/24 -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celle d’un état nécessitant des soins permanents ou une surveillance personnelle sont cumulatives, d’autre part.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w:t>
      </w:r>
    </w:p>
    <w:p>
      <w:r>
        <w:rPr>
          <w:b/>
        </w:rPr>
        <w:t>E. 4.1.2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4.1.3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t>A/2303/2023 - 13/24 -</w:t>
      </w:r>
    </w:p>
    <w:p>
      <w:r>
        <w:rPr>
          <w:b/>
        </w:rPr>
        <w:t>E. 4.2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établie par l’Office fédéral des assurances sociales [OFAS ; CIIAI], ch. 8088). Afin de faciliter l’évaluation de l’impotence déterminante des mineurs, des lignes directrices figurent dans l’annexe III de la CIIAI (arrêt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(ATAS/48/2020 du 28 janvier 2020 consid. 6).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w:t>
      </w:r>
    </w:p>
    <w:p>
      <w:r>
        <w:rPr>
          <w:b/>
        </w:rPr>
        <w:t>E. 4.3</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4.3.1</w:t>
      </w:r>
    </w:p>
    <w:p>
      <w:r>
        <w:t>Selon le chiffre 8014 de la CIIAI, il y a impotence, en ce qui concerne l’acte ordinaire de la vie « se vêtir/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4 décembre 2012 consid. 3.2.1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4.3.2</w:t>
      </w:r>
    </w:p>
    <w:p>
      <w:r>
        <w:t>En ce qui concerne l’acte ordinaire de la vie « manger », 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w:t>
      </w:r>
    </w:p>
    <w:p>
      <w:r>
        <w:t>A/2303/2023 - 16/24 -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(CIIAI, ch. 8018). Le Tribunal fédéral a rappelé, dans le cas d’un assuré, dont l'atteinte à la santé requérait un régime alimentaire particulier dès lors qu’il refusait nombre d'aliments, que les modalités de cet acte étaient en outre particulières, puisque seul un aliment devait se trouver dans l'assiette et qu’il devait être dans son cadre habituel pour pouvoir manger, que l’élément décisif était que l'adolescent pouvait se nourrir seul lorsque l'environnement était favorable, si bien que, nonobstant l'aide indirecte, les conditions de l'impotence n’étaient pas réalisées pour l'accomplissement de cet acte ordinaire de la vie (arrêt du Tribunal fédéral I 67/05 du 6 octobre 2005 consid. 4.2).</w:t>
      </w:r>
    </w:p>
    <w:p>
      <w:r>
        <w:rPr>
          <w:b/>
        </w:rPr>
        <w:t>E. 4.3.3</w:t>
      </w:r>
    </w:p>
    <w:p>
      <w:r>
        <w:t>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des assurances I.294/00 du 15 décembre 2000 consid. 4). Si l’assuré est autonome et n’a donc pas besoin d’une aide régulière pour uriner ou aller à selle et que l’acte consistant à aller aux toilettes peut encore, dans son ensemble, être accompli par lui d’une façon qui ne peut être qualifiée de non conforme à la dignité humaine, il n’y a pas impotence. L’extraction manuelle des selles du rectum ne constitue pas une atteinte à la dignité humaine (arrêt du Tribunal fédéral 9C_604/2013 du 6 décembre 2013 consid. 5.4 et la référence).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w:t>
      </w:r>
    </w:p>
    <w:p>
      <w:r>
        <w:t>A/2303/2023 - 17/24 - être allé aux toilettes (arrêt du Tribunal fédéral 9C_560/2017 du 17 octobre 2017 consid. 4 et les références). Si l’assuré doit uniquement être incité à sortir des toilettes, ce comportement ne remplit pas, malgré l'aide indirecte, les conditions de l'impotence arrêt du Tribunal fédéral des assurances I 67/05 du 6 octobre 2005 consid. 4.2).</w:t>
      </w:r>
    </w:p>
    <w:p>
      <w:r>
        <w:rPr>
          <w:b/>
        </w:rPr>
        <w:t>E. 4.4</w:t>
      </w:r>
    </w:p>
    <w:p>
      <w:r>
        <w:t>L’art. 39 RAI al. 3 prévoit que lorsqu’un mineur, en raison d’une atteinte à la santé, a besoin en plus d’une surveillance permanente, celle-ci correspond à un surcroît d’aide de deux heures. Une surveillance particulièrement intense liée à l’atteinte à la santé est équivalente à quatre heures.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w:t>
      </w:r>
    </w:p>
    <w:p>
      <w:r>
        <w:t>A/2303/2023 - 18/24 - être admise s’il s’avère que l’assuré, laissé sans surveillance, mettrait en danger de façon très probable soit lui-même soit des tiers (arrêt du Tribunal fédéral précité consid. 3.1 et les références). La condition de permanence n’exige pas que la personne qui surveille ait mission de s’occuper exclusivement de l’assuré (arrêt du Tribunal fédéral 9C_608/2007 du 31 janvier 2008 consid. 2.2.1 et la référence).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op. cit., n. 2370 p. 634).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Le Tribunal fédéral a cependant précisé que le seul diagnostic d'autisme, qui couvre un large spectre, ne suffisait pas à admettre un cas de surveillance particulièrement intense (arrêt du Tribunal fédéral des assurances I 49/07 du 10 janvier 2008 consid. 5.2). À titre d'exemples,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w:t>
      </w:r>
    </w:p>
    <w:p>
      <w:r>
        <w:t>A/2303/2023 - 19/24 -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w:t>
      </w:r>
    </w:p>
    <w:p>
      <w:r>
        <w:rPr>
          <w:b/>
        </w:rPr>
        <w:t>E. 4.5</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U.146/02 du</w:t>
      </w:r>
    </w:p>
    <w:p>
      <w:r>
        <w:rPr>
          <w:b/>
        </w:rPr>
        <w:t>E. 4.6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w:t>
      </w:r>
    </w:p>
    <w:p>
      <w:r>
        <w:t>A/2303/2023 - 20/24 -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4.7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5. En l'espèce, il convient d’examiner si les circonstances dont dépendait le droit à l’allocation pour impotent de degré moyen allouée au recourant par décision du 30 octobre 2020 ont changé de manière significative. L’intimé considère que la comparaison des deux enquêtes diligentées au domicile du recourant permet de constater l'évolution des circonstances et en particulier que le mineur n’a plus besoin d’aide pour les actes consistant à « se vêtir/se dévêtir », « manger » et « aller aux toilettes ». Il estime en outre qu’une surveillance personnelle permanente n’est plus requise. Le recourant nie toute force probante au rapport d’enquête, faisant notamment valoir que le contenu de ce document ne correspond pas aux déclarations de sa mère et que ses réels besoins n’ont pas été pris en considération. 5.1 En ce qui concerne l’acte « se vêtir/se dévêtir », la mère de l’enfant n’a pas mentionné de besoin d’aide dans le questionnaire relatif à la révision de</w:t>
      </w:r>
    </w:p>
    <w:p>
      <w:r>
        <w:t>A/2303/2023 - 21/24 - l’allocation pour impotent. Elle a uniquement mentionné que son fils ne savait pas trier ses vêtements. Dans le cadre de la présente procédure, la mère du recourant a soutenu que son fils avait encore besoin d’être accompagné pour choisir ses vêtements ou encore les « enfiler ». L’enquêtrice a rapporté que la mère de l’enfant intervenait essentiellement pour le choix des vêtements, afin d’assortir les couleurs, et que le mineur était indépendant pour s’habiller et se déshabiller, mais n’arrivait pas à fermer les petits boutons d’une chemise. La Dre D______ a évoqué, sans autre précision, un besoin d’aide partielle pour « se vêtir/se dévêtir » et pour le choix des vêtements. Un tel besoin n’a cependant pas été constaté par G______, qui a pu observer le mineur durant trois jours, et a affirmé que celui-ci était capable de se changer seul dans les vestiaires de gym ou de la piscine, mais qu’il n’arrivait pas à nouer le lacet de son costume de bain. Ces informations corroborent donc celles consignées dans le rapport d’enquête, à savoir que le recourant a uniquement besoin d’aide si les vêtements à mettre ou enlever requièrent une dextérité fine. Or, il est rappelé qu’il est exigible d’un assuré qu’il choisisse des tenues appropriées, lui permettant d’être indépendant. Le recourant pouvant porter des vêtements ne requérant pas de gestes précis, comme des t-shirts ou des pulls sans boutons à la place des chemises, ou des maillots de bain munis d’élastique à la taille pour éviter de devoir faire des lacets, aucun besoin ne peut être reconnu. Pour le reste, la mère du recourant n’allègue pas que son fils pourrait porter des habits inappropriés aux conditions météorologiques et ne remet pas en cause les indications consignées dans le rapport d’enquête, à savoir qu’elle choisissait elle-même les vêtements afin de les assortir. Partant, la chambre de céans considère que ce besoin d’aide ne peut pas être retenu. 5.2 Pour « manger », la mère du recourant a noté dans le questionnaire qu’il fallait couper et trier « par moments » les aliments de son fils, car il ne mangeait pas tout. Devant la chambre de céans, elle a notamment mentionné que son enfant ne pouvait pas se servir d’un couteau et avait besoin d’aide pour tenir ses couverts. L’enquêtrice a noté que le mineur était toujours sélectif pour l'alimentation, de sorte que sa mère préparait son repas de midi. Il mangeait avec la fourchette et la cuillère, car sa mère « préférait » lui couper les aliments et ne lui donnait pas encore le couteau. L’enquêtrice a noté que le mineur ne présentait pas de problème de motricité et n'avait jamais essayé de faire usage des services de table, et qu’il n’était pas possible de savoir s’il pouvait ou non couper les aliments lui-même. Les allégations de la mère du recourant sont confortées par les écrits de la pédiatre et de l’enseignant. En effet, la Dre D______ a constaté des difficultés au niveau de la motricité fine et indiqué que le mineur ne pouvait pas utiliser un couteau.</w:t>
      </w:r>
    </w:p>
    <w:p>
      <w:r>
        <w:t>A/2303/2023 - 22/24 - Quant à G______, il a également observé que le recourant avait de la difficulté à tenir un couteau et à couper les aliments, par manque de force, et qu’il demandait de l’aide pour ce faire. Ainsi, si la grande sélectivité du recourant et le temps passé à table ne sont pertinents, il y a cependant lieu de tenir compte du fait que le mineur ne peut pas couper ses aliments par manque de force et d’habilité, étant relevé que ces difficultés ne concernent pas uniquement les aliments durs. La chambre de céans est donc d’avis que le rapport d’enquête n’est pas probant sur ce point, dès lors que l’enquêtrice n’a même pas cherché à savoir si le recourant était ou non apte à se servir d’un couteau, et qu’elle a exclu tout problème de motricité, ce qui est contredit par le rapport de la pédiatre. Dès lors que cette dernière et l’enseignant référant ont attesté de l’incapacité à utiliser un couteau, respectivement de difficultés à tenir un tel couvert, la chambre de céans tiendra pour établi que le recourant n’est pas autonome pour manger. 5.3 Concernant l’acte « aller aux toilettes », la mère du recourant a mentionné dans le formulaire qu’elle contrôlait la propreté, car des accidents arrivaient « par moments ». Elle a maintenu, dans le cadre de son recours, qu’elle contrôlait la propreté de son fils, l’aidait à s’essuyer et que des accidents arrivaient régulièrement. D’après l’enquêtrice, l’enfant était, selon les dires de sa mère, totalement autonome pour aller aux toilettes et vérifier la propreté, que ce soit à la maison ou à l’école. La chambre de céans constate que les indications consignées dans le rapport d’enquête ne correspondent pas aux informations données par la mère du recourant, et ce déjà avant l’entretien à domicile. En outre, les propos de la mère de l’intéressé ont été confirmés par la Dre D______, qui a notamment expliqué que son fils devait souvent être aidé pour s’essuyer et que ses sous-vêtements pouvaient être tâchés. Que l’enseignant référant n’a pas fait de constatations similaires ne permet pas de remettre en cause les déclarations de la mère du recourant, confirmées par la pédiatre. Partant, la chambre de céans considère que ce besoin d’aide est également établi, au degré de la vraisemblance prépondérante requis. 5.4 Il appert donc que le recourant a besoin d’une aide régulière et importante d’autrui pour accomplir quatre actes ordinaires de la vie, de sorte que le droit à l’allocation pour impotent de degré moyen doit être maintenu. C’est le lieu de relever que le recourant, qui a conclu à l’octroi d’une allocation de degré grave, ne soutient pas que les conditions d’une telle prestation seraient réunies, puisqu’il n’a jamais indiqué de besoin d’aide pour l’acte consistant à « se lever, s’asseoir, se coucher ».</w:t>
      </w:r>
    </w:p>
    <w:p>
      <w:r>
        <w:t>A/2303/2023 - 23/24 - 5.5 Par surabondance, la chambre de céans observera encore que les éléments relevés dans le rapport d’enquête, notamment les faits que le recourant peut rester dans sa chambre sans intervention de sa mère, jouer de façon adéquate seul avec son chien, sortir dans le quartier pour s’acheter un goûter ou des bonbons avec son frère, donnait suite aux injonctions ou encore ne mettait pas le désordre dans la maison, permettent d’exclure une surveillance « particulièrement intense », mais pas tout besoin de surveillance personnelle permanente. À cet égard, elle rappellera que la Dre D______ a attesté que le mineur requérait une surveillance constante et qu’il ne pouvait pas être laissé seul durant la journée, même pour une durée d’une à deux heures. En outre, il ressort des observations de G______ que l’enfant a de la peine à gérer ses émotions, qu’il crie beaucoup et peut taper et griffer des adultes ou des enfants, lorsqu’il est frustré, énervé ou encore pense être provoqué. Ces situations sont imprévisibles, puisqu’il peut se sentir attaqué par un simple regard, un mot ou même un bruit. Durant le camp, il avait ainsi souvent accompagné le mineur lors de ses déplacements à l’intérieur de la maison, pour anticiper de potentielles crises liées aux difficultés relationnelles. Au vu de ces éléments, l’appréciation de l’enquêtrice, aux termes de laquelle le mineur n'adopterait pas de comportements dangereux pour lui-même ou des tiers, n’est pas plausible. Il appert au contraire qu’une surveillance personnelle permanente doit également être reconnue, le recourant ne pouvant pas être laissé seul toute la journée. 6. Eu égard à tout ce qui précède, le recours sera partiellement admis, la décision litigieuse annulée et il sera dit que le recourant continue à avoir droit à une allocation pour impotent de degré moyen. Le recourant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A/2303/2023 - 24/24 - PAR CES MOTIFS, LA CHAMBRE DES ASSURANCES SOCIALES : Statuant À la forme :</w:t>
      </w:r>
    </w:p>
    <w:p>
      <w:r>
        <w:rPr>
          <w:b/>
        </w:rPr>
        <w:t>E. 6</w:t>
      </w:r>
    </w:p>
    <w:p>
      <w:r>
        <w:t>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w:t>
      </w:r>
    </w:p>
    <w:p>
      <w:r>
        <w:t>A/2303/2023 - 14/24 - lorsqu’il s’agit d’apprécier la capacité d'accomplir l’acte consistant à aller aux toilettes (ATF 121 V 95 consid. 6c ;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w:t>
      </w:r>
    </w:p>
    <w:p>
      <w:r>
        <w:t>A/2303/2023 - 15/24 -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w:t>
      </w:r>
    </w:p>
    <w:p>
      <w:r>
        <w:rPr>
          <w:b/>
        </w:rPr>
        <w:t>E. 10</w:t>
      </w:r>
    </w:p>
    <w:p>
      <w:r>
        <w:t>février 2003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