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ATAS/551/2020 vom 30. Juni 2020</w:t>
      </w:r>
    </w:p>
    <w:p>
      <w:r>
        <w:t>GE Cour de justice, 2020-06-30, FR</w:t>
      </w:r>
    </w:p>
    <w:p>
      <w:r>
        <w:rPr>
          <w:b/>
        </w:rPr>
        <w:t xml:space="preserve">Quelle: </w:t>
      </w:r>
      <w:r>
        <w:t>https://mcp.opencaselaw.ch/entscheid/ge_gerichte_ATAS_551_2020</w:t>
      </w:r>
    </w:p>
    <w:p>
      <w:r>
        <w:t>FR: GE_GERICHTE ATAS/551/2020 du 30 juin 2020</w:t>
      </w:r>
    </w:p>
    <w:p>
      <w:r>
        <w:t>IT: GE_GERICHTE ATAS/551/2020 del 30 giugno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interjeté dans les forme et délai prévus par la loi (art. 56ss LPGA), est recevable.</w:t>
      </w:r>
    </w:p>
    <w:p>
      <w:r>
        <w:rPr>
          <w:b/>
        </w:rPr>
        <w:t>E. 3</w:t>
      </w:r>
    </w:p>
    <w:p>
      <w:r>
        <w:t>Le litige porte sur le point de savoir si c’est à bon droit que l’intimée est revenue sur la couverture octroyée à la recourante pour les suites de l’accident du 21 février 2019. La nature non professionnelle de cet accident n’est en revanche pas discutée.</w:t>
      </w:r>
    </w:p>
    <w:p>
      <w:r>
        <w:rPr>
          <w:b/>
        </w:rPr>
        <w:t>E. 4</w:t>
      </w:r>
    </w:p>
    <w:p>
      <w:r>
        <w:t>L’art. 1a al. 1 let. a LAA dispose que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w:t>
      </w:r>
    </w:p>
    <w:p>
      <w:r>
        <w:t>A/24/2020 - 8/13 - L’art. 8 al. 2 LAA prévoit que les travailleurs occupés à temps partiel au sens de l’art. 7 al. 2 LAA ne sont pas assurés contre les accidents non professionnels. Selon cette disposition, les accidents qui se produisent sur le trajet que l’assuré doit emprunter pour se rendre au travail ou pour en revenir sont aussi réputés accidents professionnels pour les travailleurs occupés à temps partiel dont la durée de travail n’atteint pas un minimum qui sera fixé par le Conseil fédéral. L’art. 13 al. 1 de l’ordonnance sur l’assurance-accidents (OLAA – RS 832.202) dispose que les travailleurs à temps partiel occupés chez un employeur au moins huit heures par semaine sont également assurés contre les accidents non professionnels. La réglementation spéciale sur les travailleurs à temps partiel ancrée à l’art. 13 OLAA repose principalement sur deux considérations. D'une part, il n'est guère possible d'inclure les accidents non professionnels dans l'assurance obligatoire pour cette catégorie de personnes, car il faudrait percevoir sur de bas salaires des primes démesurément élevées pour couvrir ce risque pendant de longues interruptions de travail. D'autre part, il est apparu justifié aux yeux du législateur de prendre en considération le fait que les travailleurs à temps partiel sont fréquemment exposés, en raison de leur activité, aux risques de la circulation routière et, par conséquent, de leur accorder une pleine couverture d'assurance pour le chemin parcouru pour se rendre au travail ou pour en revenir (ATF 134 V 412 consid. 1.3 et les références).</w:t>
      </w:r>
    </w:p>
    <w:p>
      <w:r>
        <w:rPr>
          <w:b/>
        </w:rPr>
        <w:t>E. 5</w:t>
      </w:r>
    </w:p>
    <w:p>
      <w:r>
        <w:t>La Commission ad hoc sinistres LAA a émis la recommandation n° 7/87 « Employés occupés à temps irrégulier » du 4 septembre 1987, révisée le 17 novembre 2008 et le 5 avril 2019, portant sur le calcul du seuil minimal de huit heures hebdomadaires. Cette recommandation est disponible à l’adresse suivante : https://www.svv.ch/sites/default/files/2019- 05/SVV_Empfehlungen_Anwendungen_UVG_2019_FR.pdf. Elle préconise notamment de calculer cette moyenne sur les trois ou douze mois précédant l’accident; la variante la plus favorable pour les assurés est déterminante. Il convient de ne prendre en considération que des semaines entières. Si le début ou la fin de la période déterminante tombe entre deux fins de semaines, les semaines entamées ne sont pas prises en compte. Si pendant la période déterminante, les semaines au cours desquelles l’assuré a effectivement travaillé sont prépondérantes, seules ces semaines sont prises en compte dans le calcul. Cela vaut également pour les semaines durant lesquelles seule une heure de travail a été effectuée. En premier ressort comptent les heures de travail effectives. Si ces dernières ne permettent pas de constater l’existence d’une couverture contre les accidents non professionnels, les heures de travail quotidien non réalisées en raison d’accident ou de maladie sont complétées par la prise en compte de la durée de travail moyenne quotidienne, arrondie à l'heure pleine suivante. En revanche, il n'y a pas lieu de retenir d'autres compléments, par exemple pour combler les jours de vacances, de service militaire ou les jours fériés.</w:t>
      </w:r>
    </w:p>
    <w:p>
      <w:r>
        <w:t>A/24/2020 - 9/13 -</w:t>
      </w:r>
    </w:p>
    <w:p>
      <w:r>
        <w:rPr>
          <w:b/>
        </w:rPr>
        <w:t>E. 6</w:t>
      </w:r>
    </w:p>
    <w:p>
      <w:r>
        <w:t>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ni l’assureur ni le juge (ATF 114 V 315 consid. 5c). S’agissant de la recommandation n° 7/87, le Tribunal fédéral a retenu qu’elle pose des critères simples d'application et qu’elle permet, dans la mesure du possible, d'assurer une égalité de traitement entre assurés. Des moyennes sur une durée assez longue de trois mois ou une année sont réputées cerner au plus près la réalité. Elle n'apparaît donc pas contraire à la loi, notamment dans la mesure où elle prescrit aux assureurs de ne comptabiliser dans la moyenne que les semaines effectives de travail. Il n'y a dès lors pas de raison de s'en écarter (ATF 139 V 457 consid. 7.2.4).</w:t>
      </w:r>
    </w:p>
    <w:p>
      <w:r>
        <w:rPr>
          <w:b/>
        </w:rPr>
        <w:t>E. 7</w:t>
      </w:r>
    </w:p>
    <w:p>
      <w:r>
        <w:t>Aux termes de l'art. 51 al. 1 LPGA, les prestations, créances ou injonctions qui ne sont pas visées à l'art. 49 al. 1 LPGA peuvent être traitées selon une procédure simplifiée. Les indemnités journalières de l'assurance-accidents peuvent faire l'objet d'une telle procédure simplifiée (arrêt du Tribunal fédéral 8C_ 99/2008 du 26 novembre 2008 consid. 3.2), de même que le traitement médical (arrêt du Tribunal fédéral 8C_113/2010 du 7 juillet 2010 consid. 5.1.2). Une communication effectuée conformément au droit dans la forme simplifiée prévue à l'art. 51 al. 1 LPGA peut produire les mêmes effets qu'une décision entrée en force si l'assuré n'a pas, dans un délai d'examen et de réflexion convenable, manifesté son désaccord avec la solution adoptée par l'assureur et exprimé sa volonté que celui-ci statue sur ses droits dans un acte administratif susceptible de recours (arrêt du Tribunal fédéral 8C_340/2018 du 16 mai 2019 consid. 4.2).</w:t>
      </w:r>
    </w:p>
    <w:p>
      <w:r>
        <w:rPr>
          <w:b/>
        </w:rPr>
        <w:t>E. 8</w:t>
      </w:r>
    </w:p>
    <w:p>
      <w:r>
        <w:t>a. Une révision procédurale conformément à l'art. 53 al. 1 LPGA permet à certaines conditions de corriger une constatation inexacte des faits. Si la décision est fondée sur une application erronée du droit (application initiale erronée), il y a lieu d'envisager une révocation sous l'angle de la reconsidération (art. 53 al. 2 LPGA) (ATF 135 V 215 consid. 4.1; ATF 127 V 10 consid. 4b). b. La reconsidération d'une décision est possible aux conditions suivantes. En vertu de l’art. 53 al. 2 LPGA, l’assureur peut revenir sur les décisions ou les décisions sur opposition formellement passées en force lorsqu’elles sont manifestement erronées et que leur rectification revêt une importance notable. Une décision est sans nul doute erronée non seulement lorsqu’elle a été rendue sur la base de normes fausses ou non pertinentes, mais encore lorsque les dispositions pertinentes n'ont pas été appliquées ou qu'elles l'ont été de manière erronée (arrêt du Tribunal fédéral 9C_187/2007 du 30 avril 2008 consid. 4.3). Au regard de la sécurité juridique, une décision administrative entrée en force ne doit pouvoir être</w:t>
      </w:r>
    </w:p>
    <w:p>
      <w:r>
        <w:t>A/24/2020 - 10/13 - modifiée par le biais de la reconsidération que si elle se révèle manifestement erronée. Cette exigence permet d'éviter que la reconsidération ne devienne un instrument autorisant sans autre un nouvel examen des conditions à la base des prestations de longue durée (arrêt du Tribunal fédéral des assurances I 512/05 du 3 mai 2006 consid. 3). En particulier, les organes d'application ne sauraient procéder en tout temps à une nouvelle appréciation de la situation après un examen plus approfondi des faits (arrêt du Tribunal fédéral des assurances I 790/01 du</w:t>
      </w:r>
    </w:p>
    <w:p>
      <w:r>
        <w:rPr>
          <w:b/>
        </w:rPr>
        <w:t>E. 13</w:t>
      </w:r>
    </w:p>
    <w:p>
      <w:r>
        <w:t>août 2003 consid. 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le prononcé sur les conditions du droit apparaît soutenable, on ne saurait dans ce cas admettre le caractère sans nul doute erroné de la décision (arrêt du Tribunal fédéral 9C_215/2007 du 2 juillet 2007 consid. 3.2).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 arrêt du Tribunal fédéral 9C_74/2008 du</w:t>
      </w:r>
    </w:p>
    <w:p>
      <w:r>
        <w:rPr>
          <w:b/>
        </w:rPr>
        <w:t>E. 17</w:t>
      </w:r>
    </w:p>
    <w:p>
      <w:r>
        <w:t>juillet 2008 consid. 2). La reconsidération peut porter sur une décision informelle (arrêt du Tribunal fédéral 9C_280/2019 du 14 octobre 2019 consid. 4.2). L’importance notable de la rectification a été niée dans des cas où les montants en jeu s’élevaient à CHF 165.90, CHF 265.20, CHF 568.10 ou encore CHF 954.25. Lorsqu’il s’agit de prestations périodiques, le caractère notable de la rectification doit en revanche être admis, même lorsqu’elle porte sur des montants minimes (Ueli KIESER, ATSG-Kommentar, 3ème éd. 2015, n° 58 ad art. 53 et les références). L’art. 53 LPGA constitue une règle de droit positif sur la possibilité de modifier une décision, de sorte que la pesée des intérêts qui entre en ligne de compte à défaut ne joue pas de rôle. L’application correcte de la disposition légale est d’emblée compatible, du point de vue du droit constitutionnel, avec le principe de la protection de la bonne foi ; sont seules réservées les situations dans lesquelles l’ensemble des conditions de ce principe sont réalisées, ce qui implique de s’écarter d’une solution conforme au droit (Margit MOSER-SZELESS, in Commentaire romand, Loi sur la partie générale des assurances sociales, 2018, n° 39 ad art. 53 LPGA). c.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w:t>
      </w:r>
    </w:p>
    <w:p>
      <w:r>
        <w:t>A/24/2020 - 11/13 - c'est-à-dire liquider le cas en invoquant le fait qu'un événement assuré - selon une appréciation correcte de la situation - n'est jamais survenu (arrêt du Tribunal fédéral 8C_579/2014 du 28 novembre 2014 consid. 3 et 8C_16/2012 du 13 février 2013 consid. 4.2). En effet, l’objet de sa décision n’est alors que la cessation du droit aux prestations futures. Ce n’est que dans les cas où l’assureur-accidents exige la restitution de prestations déjà versées qu’il doit pouvoir se prévaloir d’un motif de révision procédurale ou de reconsidération (ATF 130 V 380 consid. 2.3.1). d. En vertu du principe de la bonne foi découlant de l'art. 9 de la Constitution (Cst – RS 101), un renseignement ou une décision erronée peut obliger l'administration à consentir à un administré un avantage contraire à la loi, à certaines conditions: il faut, notamment, que l'administré se soit fondé sur le renseignement ou la décision erronée pour prendre des dispositions qu'il ne saurait modifier sans subir un préjudice et que la loi n'ait pas changé depuis le moment où le renseignement a été donné (arrêt du Tribunal fédéral 2C_792/2009 du 17 mai 2010 consid. 4). En cas de reconsidération avec effet ex nunc et pro futuro, la jurisprudence a limité la portée du principe de la bonne foi. Elle a considéré qu'en présence d'une telle décision, l'administré ne peut en principe pas se prévaloir du droit à la protection de la bonne foi, puisque l'autorité est justement revenue sur la décision erronée qui avait fondé la confiance de l'intéressé. Même si l'administré a pris des dispositions qui continuent de produire des effets dans l'avenir et sur lesquelles il ne peut revenir, les principes de la légalité et de l'égalité de traitement l'emportent, dans ce cas, sur le droit à la protection de la bonne foi (arrêt du Tribunal fédéral 8C_332/2012 du 18 avril 2013 consid. 5 et arrêts du Tribunal fédéral des assurances I 161/03 du 21 février 2005 consid. 3 et I 453/02 du</w:t>
      </w:r>
    </w:p>
    <w:p>
      <w:r>
        <w:rPr>
          <w:b/>
        </w:rPr>
        <w:t>E. 21</w:t>
      </w:r>
    </w:p>
    <w:p>
      <w:r>
        <w:t>octobre 2003 consid. 4.2.2). S’agissant des faits pertinents, ils sont démontrés par les pièces du dossier, que la recourante ne conteste pas expressément. Son audition est dès lors inutile, par appréciation anticipée des preuves (ATF 130 II 425 consid. 2.1). Il convient en premier lieu de déterminer si le calcul de l’intimée du seuil minimal de huit heures de travail par semaine est correct. En procédant au calcul conformément à la recommandation n° 7/87 de la Commission ad hoc, dont il n’y a pas lieu de s’écarter conformément à la jurisprudence citée, la somme des heures hebdomadaires durant les trois mois précédant l’accident – soit de la 48ème semaine de 2018 à la 7ème semaine de 2019 – est de 45 heures, soit une moyenne de 3.75 heures par semaine en moyenne. En se fondant sur la période de douze mois précédant l’accident, de la 9ème semaine de 2018 à la 7ème semaine de 2019, le total des heures travaillées est de 308.5 heures. On notera que ces chiffres divergent de ceux de l’intimée, qui a pris en compte 4 heures durant les 2ème et 7ème semaines de 2019 plutôt que les 6 heures travaillées. Les semaines non œuvrées ne sont pas prises en compte dans la moyenne, si bien que ce chiffre doit être divisé par 41 semaines. On aboutit ainsi à une moyenne de 7 heures et 31 minutes par semaine.</w:t>
      </w:r>
    </w:p>
    <w:p>
      <w:r>
        <w:t>A/24/2020 - 12/13 - Ces moyennes étant inférieures au seuil défini à l’art. 13 al. 1 OLAA, la recourante n’est pas couverte par l’intimée contre les accidents non professionnels. Reste ainsi à examiner si l’intimée était fondée à nier le droit aux prestations dès le 1er septembre 2019, nonobstant sa communication du 23 mai 2019. Force est de constater que les motifs avancés par l’intimée pour revenir sur sa décision sont peu clairs, dans la mesure où elle a invoqué une révision procédurale – soit une révision au sens de l’art. 53 al. 1 LPGA – dans sa décision du 30 août 2019 tout en se référant à l’alinéa deuxième de cette disposition, alors que ses écritures durant la procédure de recours se réfèrent à une simple révocation déployant ses effets pour le futur, qui n’exigerait pas que les conditions d’une reconsidération soient réalisées. La question de savoir si l’on a affaire à une simple révocation ex nunc et pro futuro n’a pas à être tranchée dès lors que l’existence d’un motif de reconsidération doit être admis. En effet, dès lors que la recourante n’atteignait pas le seuil minimal lui conférant une couverture contre les accidents professionnels, c’est sur la base d’une application erronée du droit que l’intimée a alloué ses prestations, la période déterminante fondant son calcul initial de la moyenne de travail hebdomadaire ne correspondant pas aux douze mois précédant l’accident, de manière non conforme à la pratique administrative. La moyenne d’heures travaillées par semaine étant déterminée de manière arithmétique, il ne s’agit pas là d’un élément dont la réalisation implique une marge d’appréciation de l’intimée. Sa décision informelle du 23 mai 2019 est ainsi entachée d’une erreur manifeste. En ce qui concerne l’importance notable de la rectification, dès lors que les prestations dues en cas de couverture d’assurance engloberaient non seulement le traitement par physiothérapie, mais également les indemnités journalières dues en raison de l’incapacité de travail consécutive à l’intervention chirurgicale, on peut admettre que sa rectification porte sur un montant d’une importance justifiant une reconsidération. Partant, au vu de la jurisprudence et de la doctrine, c’est en vain que la recourante invoque sa bonne foi, et la décision de l’intimée doit être confirmée dans son résultat. L’intimée ne lui a du reste pas donné d’assurance particulière quant à la prise en charge du traitement consécutif à l’intervention. La chambre de céans relève à que les parties ont eu l’occasion de se déterminer sur l’existence de motifs de reconsidération dans leurs écritures, si bien que leur droit d’être entendu a été respecté (cf. arrêt du Tribunal fédéral 9C_394/2008 du 12 février 2009 consid. 2.2). 9. Le recours est rejeté. La recourante, qui succombe, n’a pas droit à des dépens (art. 61 let. g LPGA). Pour le surplus, la procédure est gratuite (art. 61 let. a LPGA).</w:t>
      </w:r>
    </w:p>
    <w:p>
      <w:r>
        <w:t>A/24/2020 - 13/13 -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