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ATAS/551/2017 vom 27. Juni 2017</w:t>
      </w:r>
    </w:p>
    <w:p>
      <w:r>
        <w:t>GE Cour de justice, 2017-06-27, FR</w:t>
      </w:r>
    </w:p>
    <w:p>
      <w:r>
        <w:rPr>
          <w:b/>
        </w:rPr>
        <w:t xml:space="preserve">Quelle: </w:t>
      </w:r>
      <w:r>
        <w:t>https://mcp.opencaselaw.ch/entscheid/ge_gerichte_ATAS_551_2017</w:t>
      </w:r>
    </w:p>
    <w:p>
      <w:r>
        <w:t>FR: GE_GERICHTE ATAS/551/2017 du 27 juin 2017</w:t>
      </w:r>
    </w:p>
    <w:p>
      <w:r>
        <w:t>IT: GE_GERICHTE ATAS/551/2017 del 27 giugno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1er mai 2017 contre la décision litigieuse du 4 avril 2017, a été formé en temps utile (art. 60 al. 1 LPGA). Il satisfait aux exigences, peu élevées, de forme et de contenu prévues par l’art. 61 let. b LPGA (cf. aussi art. 89B LPA). Touchée par ladite décision, et ayant un intérêt digne de protection à son annulation ou à sa modification, la recourante a qualité pour recourir (art. 59 LPGA). c. Le recours est donc recevable.</w:t>
      </w:r>
    </w:p>
    <w:p>
      <w:r>
        <w:t>A/1542/2017 - 9/16 -</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FRÉSARD-FELLAY / Bettina KAHIL-WOLFF / Stéphanie PERRENOUD, Droit suisse de la sécurité sociale, vol. II, 2015, n. 27 ss; Ueli KIESER, ATSG Kommentar, 3ème éd., 2015, n. 13 ss ad art. 43, n. 95 ss ad art. 61; Michel VALTERIO, Droit de l’assurance-vieillesse et survivants et de l’assurance- 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fouillée des points litigieux importants, se fondent sur des examens complets, prennent également en considération les plaintes exprimées, aient été établis en pleine connaissance du dossier (anamnèse), décrivent clairement les interférences et enfin contiennent des conclusions bien motivées (ATF 134 V 231 consid. 5.1; 133 V 450 consid. 11.1.3; 125 V 351 consid. 3). Sans remettre en cause le principe de la libre appréciation des preuves, le Tribunal fédéral a posé des lignes directrices en ce qui concerne la manière d'apprécier certains types d'expertises ou de rapports médicaux, lignes qu’il n’y a pas lieu de rappeler ici dans le détail. Il sied de relever que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w:t>
      </w:r>
    </w:p>
    <w:p>
      <w:r>
        <w:t>A/1542/2017 - 10/16 - avis ne contiennent pas de contradictions et qu'aucun indice concret ne permette de mettre en cause leur bien-fondé.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3</w:t>
      </w:r>
    </w:p>
    <w:p>
      <w:r>
        <w:t>a. Le litige porte sur la question de savoir si la recourante peut être mis au bénéfice d’une rente d’invalidité. b. 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w:t>
      </w:r>
    </w:p>
    <w:p>
      <w:r>
        <w:t>A/1542/2017 - 11/16 - En l’espèce, s’agissant de la LAI, dès lors que la demande de prestations de l’AI est intervenue le 19 mai 2015 et que les faits déterminants se sont produits dès la fin de l’année 2014, le droit applicable est le droit actuellement en vigueur, résultant de la dernière révision de la LAI, dite 6a du 18 mars 2011, entrée en vigueur le 1er janvier 2012. Au demeurant, à l’instar d’ailleurs des révisions précédentes de la LAI – à savoir celles des 21 mars 2003 [4ème révision] et 6 octobre 2006 [5ème révision], entrées en vigueur respectivement les 1er janvier 2004 et 1er janvier 2008 –, ladite révision 6a n’a pas amené de modifications substantielles en particulier en matière d'évaluation de l'invalidité (arrêt du Tribunal fédéral des assurances I.249/05 du 11 juillet 2006 consid. 2.1 et Message concernant la modification de la loi fédérale sur l'assurance-invalidité du 22 juin 2005, FF 2005 p. 4322). S’agissant des dispositions matérielles de la LPGA, qui s'appliquent à l'assurance- 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est déterminant</w:t>
      </w:r>
    </w:p>
    <w:p>
      <w:r>
        <w:t>A/1542/2017 - 12/16 -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ce sont les conséquences économiques objectives de l'incapacité fonctionnelle qu'il importe d'évaluer (ATF 110 V 273 consid. 4a). L’atteinte à la santé n’est pas à elle seule déterminante;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Si l'invalidité est une notion juridique mettant l’accent sur les conséquences économiques d’une atteinte à la santé, elle n'en comprend pas moins un aspect médical important, puisqu'elle doit résulter d'une atteinte à la santé physique, mentale ou psychique. Aussi faut-il,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w:t>
      </w:r>
    </w:p>
    <w:p>
      <w:r>
        <w:rPr>
          <w:b/>
        </w:rPr>
        <w:t>E. 5</w:t>
      </w:r>
    </w:p>
    <w:p>
      <w:r>
        <w:t>a. En l’espèce, se fondant sur le dernier avis médical du SMR faisant lui-même référence aux rapports de la Dre K______ des 21 décembre 2016 et 31 mars 2017, l’intimé retient, pour le moins comme suspicion, une fibromyalgie depuis septembre 2016, devant être investiguée au regard des indicateurs développés récemment par le Tribunal fédéral. Il sied d’exposer brièvement le cadre juridique de cette pathologie. b. Il a déjà été relevé (cf. consid. 4), à propos de la notion d’invalidité, qu’une atteinte à la santé n’est prise en considération que dans la mesure où elle entraine une incapacité de travail ayant des effets sur la capacité de gain (ou, si une sphère ménagère doit être prise en compte, sur la capacité d’accomplir les travaux habituels), effets qu’il y a lieu d’évaluer en intégrant les efforts de volonté raisonnablement exigibles de la part de l’assuré. Les atteintes à la santé pertinentes peuvent être des atteintes à la santé physique, mentale ou psychique, y compris psychosomatique. Cette dernière catégorie d’atteintes comporte les symptomatologies douloureuses sans substrat organique objectivable (autrement appelées « troubles somatoformes douloureux ») et d’autres affections psychosomatiques assimilées, dont précisément la fibromyalgie (ATF 132 V 65 consid. 3 et 4.1). Dans un arrêt de principe du 12 mars 2004 (ATF 130 V 352), le Tribunal fédéral avait posé la présomption que les affections psychosomatiques pouvaient être</w:t>
      </w:r>
    </w:p>
    <w:p>
      <w:r>
        <w:t>A/1542/2017 - 13/16 - surmontées par un effort de volonté raisonnablement exigible, si bien que les personnes concernées n'avaient en règle générale aucun droit à une rente de l'assurance-invalidité. Seule l'existence de certains facteurs déterminés pouvait, exceptionnellement, faire apparaître la réintégration dans le processus de travail comme n'étant pas exigible. Au premier plan de ces critères figurait la présence d’une comorbidité psychiatrique importante par sa gravité, son acuité et sa durée; d’autres critères pouvaient tenir à un processus maladif s’étendant sur plusieurs années sans rémission durable, des affections corporelles chroniques, une perte d’intégration sociale dans toutes les manifestations de la vie, un état psychique cristallisé, sans évolution possible au plan thérapeutique, résultant d’un processus défectueux de résolution du conflit mais apportant un soulagement du point de vue psychique, l’échec de traitements ambulatoires ou stationnaires conformes aux règles de l’art, en dépit d’une attitude coopérative de l’assuré. Plus ces critères se manifestaient et imprégnaient les constatations médicales, moins une exigibilité d’un effort de volonté pouvait être admise; à l’inverse, le droit à des prestations d’assurance devait être nié si des limitations d’exercice d’une activité lucrative résultaient d’une exagération des symptômes ou d’une constellation semblable, comme une discordance entre les douleurs décrites et le comportement observé, l’allégation d’intenses douleurs dont les caractéristiques demeuraient vagues, l’absence de demande de soins, de grandes divergences entre les informations fournies par l’assuré et celles ressortant de l’anamnèse, le fait que des plaintes très démonstratives laissaient l’expert insensible, et l’allégation d’un lourd handicap malgré un environnement psychosocial intact (ATF 132 V 65; 131 V 49; 130 V 352; Michel VALTERIO, op. cit., n. 1199 ss; Jacques-André SCHNEIDER, L’invalidité, les douleurs dites « non objectivables » et le Tribunal fédéral : la rupture, in Regards de marathoniens sur le droit suisse, 2015, p. 409 ss). c. Or, selon un nouvel arrêt de principe rendu par le Tribunal fédéral le 3 juin 2015 (ATF 141 V 281), il n’y a plus de présomption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Les indicateurs relevant de la « gravité fonctionnelle » représentent l’instrument de base de l’analyse. Il faut s’attacher en premier lieu aux atteintes à la santé. Il s’agit d’examiner les éléments pertinents pour le diagnostic et voir si leur degré de gravité</w:t>
      </w:r>
    </w:p>
    <w:p>
      <w:r>
        <w:t>A/1542/2017 - 14/16 -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w:t>
      </w:r>
    </w:p>
    <w:p>
      <w:r>
        <w:rPr>
          <w:b/>
        </w:rPr>
        <w:t>E. 6</w:t>
      </w:r>
    </w:p>
    <w:p>
      <w:r>
        <w:t>a. En l’espèce, l’intimé n’a pas mené d’investigation sur le point de savoir si la recourante pouvait ou non prétendre à des prestations de l’AI, en particulier si elle a une invalidité tenant (éventuellement aussi) à une fibromyalgie, que ce soit au regard de l’ancienne ou de la nouvelle jurisprudence du Tribunal fédéral sur les symptomatologies douloureuses sans substrat organique objectivable et autres affections psychosomatiques assimilées, dont la fibromyalgie. Il admet qu’une instruction doit se faire à ce propos. Quant à elle, la recourante partage manifestement cet avis, puisque, dans ses observations, elle s’est dite heureuse qu’une nouvelle expertise ait lieu.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w:t>
      </w:r>
    </w:p>
    <w:p>
      <w:r>
        <w:t>A/1542/2017 - 15/16 - un renvoi apparaît disproportionné dans le cas particulier (ATF non publié 9C_162/2007 du 3 avril 2008 consid. 2.3). À l'inverse, le renvoi à l'assureur apparaît en général justifié si celui-ci a constaté les faits de façon sommaire, dans l'idée que le tribunal les éclaircirait comme il convient en cas de recours (DTA 2001 n° 22 p. 170 consid. 2 , cf. aussi ATF 137 V 210 consid. 4.4.1; ATAS/204/2016 du 15 mars 2016 consid. 3b). Il n’incombe pas à la chambre de céans de compléter et approfondir l’instruction du dossier sur une question non examinée dans le cadre de la procédure administrative. L’instruction doit se faire fondamentalement par et devant l’intimé, au surplus sur des bases actualisées. c. Le recours doit être admis partiellement, la décision attaquée être annulée et la cause renvoyée à l’intimé pour instruction complémentaire, dans la pleine mesure imposée par la maxime inquisitoire, puis pour nouvelle décision. La recourante n’en doit pas moins être consciente qu’il lui faut collaborer activement à l’établissement des faits.</w:t>
      </w:r>
    </w:p>
    <w:p>
      <w:r>
        <w:rPr>
          <w:b/>
        </w:rPr>
        <w:t>E. 7</w:t>
      </w:r>
    </w:p>
    <w:p>
      <w:r>
        <w:t>La procédure de recours en matière de contestations portant sur l’octroi ou le refus de prestations de l’assurance-invalidité étant soumise à des frais de justice (art. 69 al. 1bis LAI; art. 89H al. 4 LPA), au vu du sort du recours, il y a lieu de condamner l’intimé au paiement d'un émolument, arrêté au minimum de CHF 200.-. La recourante n’étant pas représentée par un avocat, il n’y a pas lieu de lui allouer d’indemnité de procédure, même si elle obtient partiellement gain de cause (art. 61 let. g LPGA). * * * * * *</w:t>
      </w:r>
    </w:p>
    <w:p>
      <w:r>
        <w:t>A/1542/2017 - 16/16 -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