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ATAS/551/2015 vom 15. Juli 2015</w:t>
      </w:r>
    </w:p>
    <w:p>
      <w:r>
        <w:t>GE Cour de justice, 2015-07-15, FR</w:t>
      </w:r>
    </w:p>
    <w:p>
      <w:r>
        <w:rPr>
          <w:b/>
        </w:rPr>
        <w:t xml:space="preserve">Quelle: </w:t>
      </w:r>
      <w:r>
        <w:t>https://mcp.opencaselaw.ch/entscheid/ge_gerichte_ATAS_551_2015</w:t>
      </w:r>
    </w:p>
    <w:p>
      <w:r>
        <w:t>FR: GE_GERICHTE ATAS/551/2015 du 15 juillet 2015</w:t>
      </w:r>
    </w:p>
    <w:p>
      <w:r>
        <w:t>IT: GE_GERICHTE ATAS/551/2015 del 15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présent recours est recevable (art. 56 à 60 LPGA).</w:t>
      </w:r>
    </w:p>
    <w:p>
      <w:r>
        <w:rPr>
          <w:b/>
        </w:rPr>
        <w:t>E. 4</w:t>
      </w:r>
    </w:p>
    <w:p>
      <w:r>
        <w:t>Le litige porte sur le point de savoir si c’est à bon droit que l’intimée a prononcé une suspension du droit à l’indemnité de chômage de 40 jours.</w:t>
      </w:r>
    </w:p>
    <w:p>
      <w:r>
        <w:rPr>
          <w:b/>
        </w:rPr>
        <w:t>E. 5</w:t>
      </w:r>
    </w:p>
    <w:p>
      <w:r>
        <w:t>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3 OACI, la suspension dure de un à quinze jours en cas de faute légère (let. a), de 16 à 30 jours en cas de faute de gravité moyenne (let. b) et de 31 à 60 jours en cas de faute grave (let. c).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2007, n. 855 p. 2435).</w:t>
      </w:r>
    </w:p>
    <w:p>
      <w:r>
        <w:rPr>
          <w:b/>
        </w:rPr>
        <w:t>E. 6</w:t>
      </w:r>
    </w:p>
    <w:p>
      <w:r>
        <w:t>Le motif de suspension visé à l'art. 44 al. 1 let. a OACI, soit le fait de donner à son employeur un motif de résiliation du contrat, entraîne souvent une suspension pour faute grave (Boris RUBIN, Assurance-chômage, Droit fédéral, Survol des mesures</w:t>
      </w:r>
    </w:p>
    <w:p>
      <w:r>
        <w:t>A/2405/2014 - 11/17 -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Pour qu’une sanction se justifie, il faut que le comportement de l’assuré ait causé son chômage (ATF 122 V 34 consid. 3a).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Selon la jurisprudence, pour fixer la sanction dans un cas concret, il y a lieu de partir de la valeur moyenne de la fourchette correspondant au degré de gravité de la faute, soit 45 jours en cas de faute grave (ATF 123 V 150 consid. 3c)</w:t>
      </w:r>
    </w:p>
    <w:p>
      <w:r>
        <w:rPr>
          <w:b/>
        </w:rPr>
        <w:t>E. 7</w:t>
      </w:r>
    </w:p>
    <w:p>
      <w:r>
        <w:t>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w:t>
      </w:r>
    </w:p>
    <w:p>
      <w:r>
        <w:t>A/2405/2014 - 12/17 -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 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w:t>
      </w:r>
    </w:p>
    <w:p>
      <w:r>
        <w:rPr>
          <w:b/>
        </w:rPr>
        <w:t>E. 8</w:t>
      </w:r>
    </w:p>
    <w:p>
      <w:r>
        <w:t>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w:t>
      </w:r>
    </w:p>
    <w:p>
      <w:r>
        <w:t>A/2405/2014 - 13/17 -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w:t>
      </w:r>
    </w:p>
    <w:p>
      <w:r>
        <w:rPr>
          <w:b/>
        </w:rPr>
        <w:t>E. 9</w:t>
      </w:r>
    </w:p>
    <w:p>
      <w:r>
        <w:t>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En vertu du principe inquisitoire, il appartient avant tout à la caisse – et au juge en cas de recours – de déterminer les motifs qui ont conduit à la résiliation du contrat de travail (arrêt du Tribunal fédéral des assurances C 380/00 du 26 avril 2001 consid. 2d).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11</w:t>
      </w:r>
    </w:p>
    <w:p>
      <w:r>
        <w:t>a) En l’espèce, l’intimée n’a guère motivé la sanction infligée au recourant. Elle paraît être partie du principe que le licenciement en raison du comportement du recourant exigeait qu’une faute grave soit retenue, sans nuancer en fonction des griefs avancés par l’employeur et de l’ensemble des circonstances, ce qui n’est pas conforme au droit. Comme cela ressort de son écriture du 31 octobre 2014, l’intimée a également tenu compte d’une faute du recourant qui avait entraîné son licenciement dans le cadre de précédents rapports de travail et qui n’avait pas été sanctionnée à l’époque. Selon l’art. 45 al. 5 OACI, si l'assuré est suspendu de façon répétée dans son droit à l'indemnité, la durée de suspension est prolongée en conséquence. Les suspensions subies pendant les deux dernières années sont prises en compte dans le calcul de la prolongation. Ainsi, si les antécédents de l’assuré doivent être pris en considération aux termes de cette disposition, il faut toutefois qu’ils aient fait l’objet d’une sanction (Boris RUBIN, Commentaire de la loi sur l'assurance-chômage, 2014, n. 97 ad art. 30). Ce n’est toutefois pas le cas en l’occurrence, de sorte que ce critère ne peut être pris en considération pour fixer la quotité de la suspension du droit à l’indemnité. L’intimée ne s’étant ainsi pas</w:t>
      </w:r>
    </w:p>
    <w:p>
      <w:r>
        <w:t>A/2405/2014 - 14/17 - fondée sur des critères pertinents pour prononcer la sanction en cause, elle a commis un abus de son pouvoir d’appréciation. Partant, la chambre de céans est fondée à s’en écarter et à y substituer sa propre appréciation. b) Le recourant s’est notamment vu reprocher en octobre 2012 par l’employeur de ne pas avoir nettoyé sa voiture de service. Cette critique n’a cependant pas été reprise dans les courriers ultérieurs de l’employeur, hormis lors du témoignage de M. F_______ qui n’a pas précisé à quand remontait cette négligence. D’autres témoins ont par ailleurs mentionné le zèle particulier du recourant dans le nettoyage des voitures de l’employeur. On ne peut ainsi retenir un manquement sur ce point. L’employeur invoque également le fait que le recourant aurait mangé dans la voiture. Or, plusieurs témoins ont signalé que le recourant – à l’instar des autres collaborateurs – sortait du véhicule pour manger. Ce dernier a admis avoir mangé dans l’habitacle en cas de surcharge de travail. On notera cependant que le règlement de l’employeur n’interdit pas expressément de manger dans la voiture. On voit d’ailleurs mal quel préjudice concret l’employeur encourrait du fait que le recourant a occasionnellement consommé de la nourriture dans la voiture, puisqu’il la nettoyait après. Il lui est également reproché d’avoir jeté du pain aux canards alors qu’il pique-niquait durant sa pause. Or, il s’avère que d’autres collaborateurs l’ont également fait, sans être inquiétés par l’employeur selon les déclarations de Mme G_______. Quoi qu’il en soit, il s’agit là à l’évidence d’un « comportement- bagatelle », et l’invocation de ce grief par l’employeur est plutôt révélatrice des tensions dans les rapports de travail et d’une gestion du personnel extrêmement dirigiste, voire chicanière, que de réels manquements du recourant. Tel est également le cas de la critique à l’encontre du recourant pour s’être trouvé quelques instants dans une station-service, où il a rencontré son supérieur. Quant à la fiche de dysfonctionnement du 26 janvier 2013, elle ne peut être retenue dans l’appréciation de la faute du recourant dès lors qu’il n’est pas certain qu’elle le concerne. Enfin, les allégations des supérieurs du recourant sur l’utilisation du téléphone privé et les contacts par radio avec des entreprises de la concurrence ne sont pas documentées et se fondent sur des « on-dit », qui n’ont d’ailleurs pas fait l’objet des fiches de dysfonctionnement pourtant usuelles chez l’employeur, de sorte qu’on ne peut considérer ces faits comme avérés. Les autres critiques de l’employeur appellent les commentaires suivants. Si le recourant a quitté son poste en mai 2012 sans mettre le site concerné sous alarme, cela constitue effectivement un manquement clair à ses obligations. Il ne s’agit cependant pas là d’un comportement récurrent mais au contraire d’un événement unique. De plus, l’employeur a attendu quelque cinq mois pour réprimander le recourant, ce qui laisse penser qu’il ne s’agissait pas d’un événement grave. Par ailleurs, il est établi que le recourant a fumé à une reprise au moins dans sa voiture, comme cela ressort de ses explications du 22 octobre 2013. Il semblerait de plus qu’il ait dormi dans son véhicule durant une mission et qu’il aurait quitté un soir le</w:t>
      </w:r>
    </w:p>
    <w:p>
      <w:r>
        <w:t>A/2405/2014 - 15/17 - site de Chavannes-de-Bogis sans tirer le rideau métallique. Il s’agit incontestablement là de lacunes dans l’exécution du travail. Le recourant a également ouvert à plusieurs reprises le site de Chavannes-de-Bogis avant l’heure, ce qui semble être le grief principal de l’employeur. Le recourant a ainsi enfreint les directives de son employeur. La gravité de ce manquement doit cependant être relativisée. Il ressort en effet de l’instruction que les consignes à ce sujet ont changé en cours d’emploi, ce qui démontre qu’il ne s’agissait pas d’une règle absolue. En outre, plusieurs collaborateurs – dont le formateur du témoin I_______ – ont également ouvert le site à l’avance. Le supérieur de Mme G_______ n’ignorait pas non plus qu’elle ouvrait également le site à l’avance, sans qu’elle ne soit réprimandée. Or, il y a chômage fautif si l'assuré adopte intentionnellement un comportement en vue d'être licencié ou s'il peut prévoir que son comportement peut avoir pour conséquence un licenciement et qu'il accepte de courir ce risque (arrêt du Tribunal fédéral 8C_370/2014 du 11 juin 2015 consid. 4.1). Au vu de la tolérance de l’employeur par rapport à cette pratique à l’égard de certains de ses employés, on peut sérieusement mettre en doute que le recourant devait s’attendre à voir les rapports de travail résiliés pour ce motif. Enfin, le comportement de l’employeur n’est pas exempt de tout reproche. L’audition des témoins a notamment révélé une mauvaise atmosphère de travail, de très fréquentes modifications d’horaires de travail à brève échéance – que le recourant a toujours acceptées sans rechigner – et l’assignation de tâches qui sortent manifestement du cahier des charges d’agents de surveillance, telles que le nettoyage des véhicules privés de leurs supérieurs ou le vidage de leurs poubelles personnelles. Or, on rappellera qu’il y a lieu de tenir compte d’une faute concomitante de l’employeur dans la fixation de la durée de la suspension (RUBIN, Commentaire, n. 103 ad art. 30). Dans l’appréciation de la faute d’une assurée ayant donné son congé, le Tribunal fédéral a souligné que si un assuré peut dans un tel cas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 Il est vrai que de telles circonstances sont prises en considération dans les cas où l’assuré a lui-même donné son congé, afin de déterminer s’il était exigible qu’il poursuive les rapports de travail. Par conséquent, elles n’exculpent pas un assuré de ses propres manquements, qui ont donné lieu au licenciement. Toutefois, dans la mesure où le comportement de l’employeur et le climat de travail hostile auraient justifié une réduction de la sanction si le recourant avait lui-même donné son congé, il n’y a pas lieu d’en faire totalement abstraction dans l’appréciation de sa faute. En conclusion, le comportement du recourant n’échappe pas à toute critique puisqu’il a commis quelques erreurs dans l’exécution de son travail et a ouvert le site de Chavannes-de-Bogis de manière anticipée à quelques reprises. Au vu de</w:t>
      </w:r>
    </w:p>
    <w:p>
      <w:r>
        <w:t>A/2405/2014 - 16/17 - l’ensemble des circonstances, on ne saurait cependant retenir une faute grave, et il se justifie d’admettre une faute moyenne. Partant, la sanction sera déterminée en partant de la valeur moyenne dans un tel cas, soit 23 jours, et fixée à 25 jours, par analogie avec la casuistique exposée ci-dessus.</w:t>
      </w:r>
    </w:p>
    <w:p>
      <w:r>
        <w:rPr>
          <w:b/>
        </w:rPr>
        <w:t>E. 12</w:t>
      </w:r>
    </w:p>
    <w:p>
      <w:r>
        <w:t>Eu égard à ce qui précède, le recours est partiellement admis. Le recourant, qui n’est pas représenté, n’a pas droit à des dépens (art. 61 let. a LPGA). Pour le surplus, la procédure est gratuite (art. 61 let. g LPGA).</w:t>
      </w:r>
    </w:p>
    <w:p>
      <w:r>
        <w:t>A/2405/2014 - 17/17 -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