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ATAS/551/2011 vom 25. Mai 2011</w:t>
      </w:r>
    </w:p>
    <w:p>
      <w:r>
        <w:t>GE Cour de justice, 2011-05-25, FR</w:t>
      </w:r>
    </w:p>
    <w:p>
      <w:r>
        <w:rPr>
          <w:b/>
        </w:rPr>
        <w:t xml:space="preserve">Quelle: </w:t>
      </w:r>
      <w:r>
        <w:t>https://mcp.opencaselaw.ch/entscheid/ge_gerichte_ATAS_551_2011</w:t>
      </w:r>
    </w:p>
    <w:p>
      <w:r>
        <w:t>FR: GE_GERICHTE ATAS/551/2011 du 25 mai 2011</w:t>
      </w:r>
    </w:p>
    <w:p>
      <w:r>
        <w:t>IT: GE_GERICHTE ATAS/551/2011 del 25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l'état de santé du recourant s'est péjoré de sorte qu'il subit une invalidité lui ouvrant le droit aux prestations.</w:t>
      </w:r>
    </w:p>
    <w:p>
      <w:r>
        <w:t>A/3817/2010 - 9/16 -</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consid. 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w:t>
      </w:r>
    </w:p>
    <w:p>
      <w:r>
        <w:rPr>
          <w:b/>
        </w:rPr>
        <w:t>E. 5</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w:t>
      </w:r>
    </w:p>
    <w:p>
      <w:r>
        <w:t>A/3817/2010 - 10/16 -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w:t>
      </w:r>
    </w:p>
    <w:p>
      <w:r>
        <w:t>A/3817/2010 - 11/16 - b) Selon l’art. 28 al. 2 LAI, l’assuré a droit à une rente entière s’il est invalide à 70% au moins, à trois quarts de rente s’il est invalide à 60% au moins, à une demi- rente s’il est invalide à 50% au moins ou à un quart de rente s’il est invalide à 40% au moins.</w:t>
      </w:r>
    </w:p>
    <w:p>
      <w:r>
        <w:rPr>
          <w:b/>
        </w:rPr>
        <w:t>E. 7</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A/3817/2010 - 12/16 - l’incapacité de travail par le médecin de famille (ATF 125 V 351 consid. 3b/cc et les références ; RJJ 1995, p. 44 ; RCC 1988 p. 504 consid. 2).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w:t>
      </w:r>
    </w:p>
    <w:p>
      <w:r>
        <w:t>A/3817/2010 - 13/16 - l’art. 4 aCst. étant toujours valable (ATF 124 V 94 consid. 4b, 122 V 162 consid. 1d).</w:t>
      </w:r>
    </w:p>
    <w:p>
      <w:r>
        <w:rPr>
          <w:b/>
        </w:rPr>
        <w:t>E. 8</w:t>
      </w:r>
    </w:p>
    <w:p>
      <w:r>
        <w:t>En l'occurrence, il n'est pas contesté que l'état de santé du recourant s'est aggravé depuis la dernière décision de l'intimé en octobre 2002. Cela est en effet admis par l'experte et les médecins du SMR. Seule la répercussion de cette aggravation sur la capacité de travail est litigieuse.</w:t>
      </w:r>
    </w:p>
    <w:p>
      <w:r>
        <w:rPr>
          <w:b/>
        </w:rPr>
        <w:t>E. 9</w:t>
      </w:r>
    </w:p>
    <w:p>
      <w:r>
        <w:t>Dans son rapport d’expertise du 10 novembre 2009, la Dresse N__________ a constaté que le recourant présentait une insuffisance veineuse superficielle sévère avec un status post-thrombotique du côté gauche. Une activité en position debout prolongée ou assise prolongée était déconseillée. Il s’agissait par ailleurs d’une maladie veineuse évolutive dans le temps, malgré une prise en charge conservatrice ou chirurgicale. L'experte a estimé que la capacité de travail était nulle en tant que serveur et de 50 % en alternance, tout en ajoutant entre parenthèses « chauffeur ». La capacité de travail pouvait être améliorée par le port d’une compression médicale durant l’activité, la possibilité d’alterner les positions assise ou debout et l’absence de port de charges trop importantes. Toutefois, l’influence de ces mesures sera faible en rapport avec la profession exercée. Dans son complément d’expertise du 10 avril 2011, l’experte a relevé que les professions les plus exposées au risque de maladie veineuse étaient les activités statiques en position assise ou debout prolongée ou avec piétinement, (caissier, chauffeur, coiffeur, chirurgien, cuisinier, travail administratif, commerçant…) ou les postes de travail mobiles dont l’activité ou l’environnement favorisait l’insuffisance veineuse (avec port de charges ou dans une ambiance chaude et humide). Quant au recourant, il était capable d'exercer toute profession permettant une alternance des positions et des exercices de marche réguliers. En tenant compte du temps d’une journée de travail à 100 %, le temps nécessaire aux exercices de marche était évalué à 50 %. Dans une activité avec une alternance de la position assise et de la marche, la capacité de travail pourrait être de plus de 50 %. A cet égard, l’experte a relevé que le rapport d’OSER n’était plus d’actualité, la maladie veineuse s’étant compliquée depuis lors par une récidive variqueuse et un nouvel épisode de thrombose veineuse profonde en août 2004, nécessitant une intervention chirurgicale. Par ailleurs, le port de bas à varices bilatéral pourrait améliorer les symptômes et donc indirectement augmenter la capacité de travail. Néanmoins, les exercices de marche devraient être maintenus. Le Dr O__________ du SMR a estimé pour sa part que le recourant pourrait travailler dans une activité adaptée à raison de 80 %. A titre d’exemple, il cite les professions de buraliste et d’huissier. Il a relevé en outre que les symptômes liés à la maladie veineuse pouvaient être atténués avec l’utilisation de la bonne classe de bas à varices.</w:t>
      </w:r>
    </w:p>
    <w:p>
      <w:r>
        <w:t>A/3817/2010 - 14/16 - Par ailleurs, le responsable en réadaptation et réinsertion de l’intimé a indiqué, dans un avis du 23 décembre 2010, qu’une activité comme ouvrier d’usine polyvalent dans les activités simples et répétitives correspondait aux limitations fonctionnelles décrites. Les tâches dans une telle activité pourraient être la préparation des commandes, l’emballage et l’emboitage pour les articles léger. Il résulte de ce qui précède que c’est essentiellement l’activité adaptée que le recourant pourrait exercer qui est litigieuse. En effet, l’experte admet que la capacité de travail du recourant pourrait être supérieure à 50 % dans une activité pleinement adaptée, c’est-à-dire permettant de marcher pendant 50 % du temps de travail. A cet égard, il est à relever que, selon l'experte, la durée de la marche nécessaire pendant le temps de travail ne pourrait pas être diminuée, même avec le port bilatéral de bas à varices adéquats. Or, l’intimé cite à titre d’activités adaptées des professions qui manifestement ne permettent pas la marche régulière. En effet, il a proposé les professions de buraliste, d'huissier et d'ouvrier d'usine polyvalent. Pour cette dernière activité, les réadaptateurs ont considéré que le travail pourrait consister en préparation de commandes, emballage et emboitage pour des articles légers, soit des activités statiques qui sont proscrites. Il ne saurait dès lors être considéré qu’il s’agit d’activités pleinement adaptées. Dans la mesure où une activité permettant de marcher pendant 50 % du temps de travail parait très difficile à trouver et que l’offre de telles activités serait en tout état de cause trop restreinte sur le marché du travail, même équilibré, la Cour de céans estime que les possibilités de travail à plus de 50% sont en l'espèce irréalistes. Elle retient ainsi que la capacité de travail du recourant dans les activités qui s’offrent à lui, compte tenu de ses limitations, de son instruction et des activités exercées précédemment, est diminuée de 50 %, conformément aux conclusions de l’experte. Elle juge par ailleurs inutile de soumettre le recourant à une nouvelle observation professionnelle, dès lors qu'il a montré une très faible motivation déjà pendant la première mise en œuvre d'une telle mesure en 2002.</w:t>
      </w:r>
    </w:p>
    <w:p>
      <w:r>
        <w:rPr>
          <w:b/>
        </w:rPr>
        <w:t>E. 10</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A/3817/2010 - 15/16 -</w:t>
      </w:r>
    </w:p>
    <w:p>
      <w:r>
        <w:rPr>
          <w:b/>
        </w:rPr>
        <w:t>E. 11</w:t>
      </w:r>
    </w:p>
    <w:p>
      <w:r>
        <w:t>En l'occurrence, l'experte a admis une péjoration de l'état de santé à partir de 2006. A ce moment, le recourant travaillait en tant que chauffeur. Dès lors qu'il ne peut plus travailler comme chauffeur qu'à raison de 50 %, une incapacité de travail à ce pourcentage doit être admise. A cet égard, la Cour de céans estime qu'il n'y a pas lieu de procéder à une déduction supplémentaire du salaire de chauffeur à 50% (cf. ATF 126 V 78 consid. 5), étant donné que le recourant a déjà exercé ce métier, parle l'arabe et le français, ainsi que l'anglais, ce qui est assurément un atout dans cette profession à Genève, et que cette profession se prête à être exercée à temps partiel. Cela étant, le recourant peut prétendre à une demi-rente d'invalidité.</w:t>
      </w:r>
    </w:p>
    <w:p>
      <w:r>
        <w:rPr>
          <w:b/>
        </w:rPr>
        <w:t>E. 12</w:t>
      </w:r>
    </w:p>
    <w:p>
      <w:r>
        <w:t>Selon l'art. 29 al. 1 LAI, le droit à la rente prend naissance au plus tôt à l’échéance d’une période de six mois à compter de la date à laquelle l’assuré a fait valoir son droit aux prestations En l'espèce, le recourant a déposé sa nouvelle demande de rente en décembre 2008. Par conséquent, le droit à la rente est né en juin 2009.</w:t>
      </w:r>
    </w:p>
    <w:p>
      <w:r>
        <w:rPr>
          <w:b/>
        </w:rPr>
        <w:t>E. 13</w:t>
      </w:r>
    </w:p>
    <w:p>
      <w:r>
        <w:t>Le recours sera par conséquent admis et le recourant mis au bénéfice d'une demi- rente dès juin 2009. Le recourant reste par ailleurs libre de solliciter une aide au placement, telle que proposée par l'intimé.</w:t>
      </w:r>
    </w:p>
    <w:p>
      <w:r>
        <w:rPr>
          <w:b/>
        </w:rPr>
        <w:t>E. 14</w:t>
      </w:r>
    </w:p>
    <w:p>
      <w:r>
        <w:t>Au vu de l'issue de la procédure, l'intimé sera condamné à verser au recourant une indemnité de 2'000 fr. à titre de dépens.</w:t>
      </w:r>
    </w:p>
    <w:p>
      <w:r>
        <w:rPr>
          <w:b/>
        </w:rPr>
        <w:t>E. 15</w:t>
      </w:r>
    </w:p>
    <w:p>
      <w:r>
        <w:t>L'émolument de justice, fixé à 200 fr., est mis à la charge de l'intimé.</w:t>
      </w:r>
    </w:p>
    <w:p>
      <w:r>
        <w:t>A/3817/2010 - 16/16 -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