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ATAS/551/2010 vom 17. Dezember 2009</w:t>
      </w:r>
    </w:p>
    <w:p>
      <w:r>
        <w:t>GE Cour de justice, 2009-12-17, FR</w:t>
      </w:r>
    </w:p>
    <w:p>
      <w:r>
        <w:rPr>
          <w:b/>
        </w:rPr>
        <w:t xml:space="preserve">Quelle: </w:t>
      </w:r>
      <w:r>
        <w:t>https://mcp.opencaselaw.ch/entscheid/ge_gerichte_ATAS_551_2010</w:t>
      </w:r>
    </w:p>
    <w:p>
      <w:r>
        <w:t>FR: GE_GERICHTE ATAS/551/2010 du 17 décembre 2009</w:t>
      </w:r>
    </w:p>
    <w:p>
      <w:r>
        <w:t>IT: GE_GERICHTE ATAS/551/2010 del 17 dicembre 2009</w:t>
      </w:r>
    </w:p>
    <w:p>
      <w:pPr>
        <w:pStyle w:val="Heading2"/>
      </w:pPr>
      <w:r>
        <w:t>Erwägungen</w:t>
      </w:r>
    </w:p>
    <w:p>
      <w:r>
        <w:rPr>
          <w:b/>
        </w:rPr>
        <w:t>E. 36</w:t>
      </w:r>
    </w:p>
    <w:p>
      <w:r>
        <w:t>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(ATF 132 V 93 consid. 6.5 p. 108 s.) ; Que selon la jurisprudence relative aux art. 29 al. 1er Cst., 30 al. 1er Cst. et 6 par. 1 de la Convention européenne des droits de l’homme,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impressions individuelles d’une des parties au procès ne sont toutefois pas décisives ; Qu’un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123 V 175 consid. 3d ; RAMA 1999 n° U 332 p. 193, U 212/97, consid. 2a/bb et les références). Que la jurisprudence considère qu'en cas de litige, il ne convient pas de confier une expertise à un médecin traitant étant donné le conflit qui peut résulter de son rôle à la fois de fournisseur de soins, d'une part, et d'expert, d'autre part. Toutefois, le simple fait qu'il a déjà eu l'occasion d'examiner une personne n'empêche pas d'emblée un médecin de se voir confier plus tard une expertise. Il n'y a pas non plus de prévention inadmissible lorsqu'il aboutit à des conclusions défavorables à une partie. Il en va autrement si les circonstances donnent objectivement l'apparence de la prévention et font craindre une activité partiale, comme lorsque le rapport d'expertise n'est pas neutre ni objectif. Dans ce cas, il faut admettre l'existence d'un motif de récusation (ATF 127 I</w:t>
      </w:r>
    </w:p>
    <w:p>
      <w:r>
        <w:t>A/353/2009 - 5/7 - 196 consid. 2b p. 198 s.; arrêt du Tribunal fédéral des assurances I 29/04 du 17 août 2004 consid. 2.2 et les références) ; Qu’en l’espèce, la recourante produit un document démontrant qu’à une reprise au moins, le Dr A____________ s’est prononcé en qualité de médecin-conseil d’un assureur ; Que cette seule circonstance, étant rappelé que ledit assureur n’est pas partie à la procédure et n’intervient pas dans le domaine de l’assurance-invalidité, ne permet pas d’en tirer la conclusion qu’en tire la recourante, à savoir que le Dr A____________ aurait adopté l’esprit d’entreprise des assureurs ; Que rien ne permet de douter que l’activité du Dr A____________ ne sera pas totalement impartiale ; Qu’en particulier, il ne ressort pas du dossier que le Dr A____________ ne se serait pas prononcé en toute impartialité par le passé ; Qu’il convient ainsi d’ordonner une expertise rhumatologique, laquelle sera confiée au Dr A____________ ; ***</w:t>
      </w:r>
    </w:p>
    <w:p>
      <w:r>
        <w:t>A/353/2009 - 6/7 -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