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ATAS/551/2009 vom 12. Mai 2009</w:t>
      </w:r>
    </w:p>
    <w:p>
      <w:r>
        <w:t>GE Cour de justice, 2009-05-12, FR</w:t>
      </w:r>
    </w:p>
    <w:p>
      <w:r>
        <w:rPr>
          <w:b/>
        </w:rPr>
        <w:t xml:space="preserve">Quelle: </w:t>
      </w:r>
      <w:r>
        <w:t>https://mcp.opencaselaw.ch/entscheid/ge_gerichte_ATAS_551_2009</w:t>
      </w:r>
    </w:p>
    <w:p>
      <w:r>
        <w:t>FR: GE_GERICHTE ATAS/551/2009 du 12 mai 2009</w:t>
      </w:r>
    </w:p>
    <w:p>
      <w:r>
        <w:t>IT: GE_GERICHTE ATAS/551/2009 del 12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a été rendue en date du 7 juin 2007 et le droit éventuel à une rente débute au plus tôt au mois de septembre 2004. La LPGA et les modifications de la LAI du 21 mars 2003, entrées en vigueur le 1er janvier 2004 (4ème révision), sont dès lors applicables.</w:t>
      </w:r>
    </w:p>
    <w:p>
      <w:r>
        <w:rPr>
          <w:b/>
        </w:rPr>
        <w:t>E. 3</w:t>
      </w:r>
    </w:p>
    <w:p>
      <w:r>
        <w:t>La décision sur laquelle porte le recours est parvenue à l’assuré en date du 19 juillet 2007, de sorte que le délai de recours arrive à échéance en date du 14 septembre 2007 (art. 60 al. 2 et 38 al. 4 let. b p.a. LPGA). Le présent recours a ainsi été interjeté dans le délai légal et respecte également les exigences de forme (art. 56 à 61 LPGA).</w:t>
      </w:r>
    </w:p>
    <w:p>
      <w:r>
        <w:rPr>
          <w:b/>
        </w:rPr>
        <w:t>E. 4</w:t>
      </w:r>
    </w:p>
    <w:p>
      <w:r>
        <w:t>La question litigieuse est celle de savoir si c’est à juste titre que l’OCAI a nié à l’assuré le droit à une rente d’invalidité et à des mesures d’ordre professionnel.</w:t>
      </w:r>
    </w:p>
    <w:p>
      <w:r>
        <w:t>A/3416/2007 - 8/15 -</w:t>
      </w:r>
    </w:p>
    <w:p>
      <w:r>
        <w:rPr>
          <w:b/>
        </w:rPr>
        <w:t>E. 5</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but de l’expertise pluridisciplinaire est d’obtenir une collaboration entre différents praticiens et d’éviter les contradictions que pourraient entraîner des examens trop spécialisés, menés indépendamment les uns des autres. En effet, il convient de s’attacher à la discussion globale menée par les experts du Centre d’observation médicale de l’assurance-invalidité (COMAI) plutôt qu’aux rapports forcément sectoriels et limités des différents spécialistes consultés en cours d’expertise (ATFA non publiés du 13 mars 2006 [I 16/05] et du 4 juillet 2005 [I 228/04]).</w:t>
      </w:r>
    </w:p>
    <w:p>
      <w:r>
        <w:t>A/3416/2007 - 9/15 -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Le Tribunal fédéral a ainsi jugé que l’indépendance et l’impartialité des médecins du Centre d’observation médicale de l’assurance-invalidité (COMAI) étaient garanties déjà avant l’entrée en vigueur de leur nouveau statut du 1er juin 1994 (ATF 123 V 175 ; cf. également RAMA 1999 n° U 332 p. 193).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 invalidité (ATF 125 V 351 ; ATFA du 29 octobre 2003, I 321/03 consid. 3.1).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w:t>
      </w:r>
    </w:p>
    <w:p>
      <w:r>
        <w:t>A/3416/2007 - 10/15 -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En l’espèce, l’assuré a été soumis à une expertise bidisciplinaire rhumatologique et psychiatrique, aux termes de laquelle ont été retenus les diagnostics de trouble de l’adaptation avec réaction dépressive prolongée (F43.21) depuis le mois de septembre 2003, d’ostéopénie d’origine indéterminée, traitée (M80.5), de discrètes atteintes dégénératives rachidiennes discopathiques cervico-lombaires banales sans répercussion radiculaire ni myélopathique actuelle (M47.8), de status après ablation d’un polype banal digestif, de PSH (périarthrite scapulo-humérale) modérée bilatérale, de status après cures de varices, de status après bursectomie du genou droit et de prostatisme modéré sur adénome stable (depuis 2004). Aucun des diagnostics n’avait de répercussion sur la capacité de travail. Les experts ont considéré que l’assuré ne présentait ni diminution de rendement ni limitation fonctionnelle tant sur le plan physique que psychiatrique. Il était capable, d’après eux, de supporter les horaires irréguliers de la profession de boulanger, n’ayant aucune plainte concernant son sommeil. La capacité de travail de l’assuré était entière dans l’activité précédemment exercée. Il y a lieu de constater que le rapport d’expertise se fonde tout d’abord sur une anamnèse personnelle, familiale, professionnelle et médicale et sur les plaintes tant physiques que psychiques de l’assuré. Un examen clinique portant sur ses affections somatiques et psychiques a été effectué et les experts ont exposé leurs constatations objectives. Suite à une synthèse du cas, ils ont posé des diagnostics clairs et ont conclu de manière convaincante. Les experts ont, en effet, expliqué les raisons qui les conduisaient tant sur le plan somatique que psychique à conclure que l’assuré ne présentait ni d’incapacité de travail dans sa profession antérieure, ni de diminution de rendement ou de limitation fonctionnelle et ont exposé les conséquences de sa personnalité rigide. Les conclusions cohérentes de l’expertise n’apparaissent du reste pas en contradiction avec les constatations objectives et subjectives et le rapport ne contient pas d’indice permettant de mettre en cause leur bien-fondé. Ce rapport d’expertise revêt ainsi a priori pleine valeur probante.</w:t>
      </w:r>
    </w:p>
    <w:p>
      <w:r>
        <w:t>A/3416/2007 - 11/15 -</w:t>
      </w:r>
    </w:p>
    <w:p>
      <w:r>
        <w:rPr>
          <w:b/>
        </w:rPr>
        <w:t>E. 9</w:t>
      </w:r>
    </w:p>
    <w:p>
      <w:r>
        <w:t>Il y a lieu d’examiner si les rapports des médecins traitants ou l’expertise du Dr Q__________ sont propres à mettre en doute la valeur probante de cette expertise. 9.a. A cet égard, il sera rappelé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l’espèce, cependant, les rapports produits par l’assuré dans le cadre de la procédure de recours sont dans l’ensemble à prendre en considération, en tant qu’ils portent sur des faits existants au moment de la décision litigieuse, une réserve étant faite en ce qui concerne le rapport du Dr L__________ du 15 janvier 2009, attestant d’une aggravation de l’état de santé de l’assuré depuis le mois de juillet 2008. A cet égard, il y a lieu de signaler qu’il est loisible à l’assuré de déposer une nouvelle demande fondée sur ladite aggravation. 9.b. Le Dr M__________, ancien psychiatre traitant, n’a pas établi de rapport suffisamment précis et complet permettant d’établir avec exactitude l’état de santé psychique de l’assuré. En outre, le Dr P__________, nouveau psychiatre traitant, rejoint l’avis des experts en ce sens qu’il a admis que l’état dépressif était en tous les cas devenu léger après une certaine période. Il ne s’est toutefois pas déterminé précisément sur la question de l’influence des diagnostics sur la capacité de travail de l’assuré. Enfin, les Drs L__________ et R__________ se basent plus sur les plaintes de l’assuré que sur des constatations objectives et posent des diagnostics liés à son état de santé psychique. Or, ces médecins ne sont pas psychiatres, mais respectivement spécialistes en endocrinologie, médecine interne et maladies rhumatismales, de sorte que leurs rapports ne sauraient avoir le même poids en ce qui concerne l’état de santé psychique de l’assuré que celui d’un spécialiste. Le Tribunal de céans doit ainsi constater qu’aucun des rapports des médecins traitants de l’assuré ne permet de remettre valablement en cause la valeur probante du rapport d’expertise. 9.c. Au vu de ce qui vient d’être exposé, il apparaît qu’une mesure d’instruction supplémentaire, telle que l’audition des médecins traitants n’est pas nécessaire, attendu que l’expertise bidisciplinaire a porté sur tous les points litigieux et que ses conclusions sont motivées et cohérentes.</w:t>
      </w:r>
    </w:p>
    <w:p>
      <w:r>
        <w:t>A/3416/2007 - 12/15 - 9.d. Le Dr Q__________, expert mandaté par l’assuré, a, quant à lui, principalement posé le diagnostic d’épisode dépressif léger ne conduisant pas à une incapacité de travail et a ainsi considéré que l’assuré présentait une entière capacité de travail dans la profession précédemment exercée. Il a conclu que son appréciation était proche de celle des experts COMAI. Cependant, son rapport diverge essentiellement de la leur en ce qu’il a retenu une diminution de rendement de 20 à 30% due à une fatigabilité et à une lenteur liée à l’état dépressif ainsi qu’aux caractéristiques pathologiques de sa personnalité. Il préconisait également des horaires réguliers et une réduction des interactions avec autrui. Le Tribunal constate que la lenteur de l’assuré, sur laquelle le Dr Q__________ se fonde pour retenir une diminution de rendement, a uniquement été alléguée par l’assuré et n’a pas été constatée par l’expert en entretien, ce que ce dernier a explicitement exposé dans son rapport. Ainsi, ce rapport, contenant une conclusion basée uniquement sur les plaintes de l’assuré et non sur les constatations objectives de l’expert, ne saurait être propre à mettre en doute les conclusions du rapport clair et complet des experts COMAI. 9.e. Le rapport d’expertise COMAI présente ainsi pleine valeur probante, de sorte qu’il apparaît que la capacité de travail de l’assuré est entière dans l’activité précédemment exercée de boulanger.</w:t>
      </w:r>
    </w:p>
    <w:p>
      <w:r>
        <w:rPr>
          <w:b/>
        </w:rPr>
        <w:t>E. 10</w:t>
      </w:r>
    </w:p>
    <w:p>
      <w:r>
        <w:t>Dans l’hypothèse où un assuré présente une entière capacité de travail dans toute activité lucrative, les revenus avant et après invalidité sont calculés sur la même base. Il est dès lors superflu de les chiffrer avec exactitude, le degré d’invalidité se confondant avec celui de l’incapacité de travail (ATF I 43/05).</w:t>
      </w:r>
    </w:p>
    <w:p>
      <w:r>
        <w:rPr>
          <w:b/>
        </w:rPr>
        <w:t>E. 11</w:t>
      </w:r>
    </w:p>
    <w:p>
      <w:r>
        <w:t>En l’espèce, l’assuré présente une entière capacité de travail dans sa profession antérieure, de sorte que son degré d’invalidité est nul.</w:t>
      </w:r>
    </w:p>
    <w:p>
      <w:r>
        <w:rPr>
          <w:b/>
        </w:rPr>
        <w:t>E. 12</w:t>
      </w:r>
    </w:p>
    <w:p>
      <w:r>
        <w:t>Le Tribunal de céans relève enfin que l’assuré cite, dans ses écritures du 23 octobre 2008, une jurisprudence du Tribunal fédéral tendant à déterminer dans quelle mesure il peut être exigé d’un assuré présentant un certain taux d’invalidité qu’il exerce une activité lucrative sur un marché du travail équilibré et permettant d’évaluer l’invalidité d’un assuré proche de l’âge de la retraite. (cf. not. arrêts 9C_437/2008 du 19 mars 2009, 9C_612_2007 du 14 juillet 2008 ou I 1034/06 du 6 décembre 2007) Il doit cependant être constaté que cette jurisprudence ne saurait s’appliquer dans le cas d’espèce, attendu qu’il a précédemment été établi que l’assuré, bien que proche de l’âge de la retraite, était capable d’exercer sa précédente activité de boulanger et que son degré d’invalidité était nul.</w:t>
      </w:r>
    </w:p>
    <w:p>
      <w:r>
        <w:rPr>
          <w:b/>
        </w:rPr>
        <w:t>E. 13</w:t>
      </w:r>
    </w:p>
    <w:p>
      <w:r>
        <w:t>Par conséquent, la décision de l’OCAI concernant le refus de rente d’invalidité sera confirmée.</w:t>
      </w:r>
    </w:p>
    <w:p>
      <w:r>
        <w:t>A/3416/2007 - 13/15 -</w:t>
      </w:r>
    </w:p>
    <w:p>
      <w:r>
        <w:rPr>
          <w:b/>
        </w:rPr>
        <w:t>E. 14</w:t>
      </w:r>
    </w:p>
    <w:p>
      <w:r>
        <w:t>Reste à se prononcer sur le refus de l’OCAI de mettre l’assuré au bénéfice de mesures de réadaptation, sous la forme de mesures d’ordre professionnel.</w:t>
      </w:r>
    </w:p>
    <w:p>
      <w:r>
        <w:rPr>
          <w:b/>
        </w:rPr>
        <w:t>E. 15</w:t>
      </w:r>
    </w:p>
    <w:p>
      <w:r>
        <w:t>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w:t>
      </w:r>
    </w:p>
    <w:p>
      <w:r>
        <w:rPr>
          <w:b/>
        </w:rPr>
        <w:t>E. 16</w:t>
      </w:r>
    </w:p>
    <w:p>
      <w:r>
        <w:t>Dans le cas présent, attendu qu’il a été établi que l’assuré était, en tout état de cause, susceptible d’exercer sa profession antérieure de boulanger, une mesure de reclassement dans une nouvelle profession ou d’orientation professionnelle ne saurait être envisagée. La décision de l’OCAI sera ainsi également confirmée sur ce point.</w:t>
      </w:r>
    </w:p>
    <w:p>
      <w:r>
        <w:t>A/3416/2007 - 14/15 -</w:t>
      </w:r>
    </w:p>
    <w:p>
      <w:r>
        <w:rPr>
          <w:b/>
        </w:rPr>
        <w:t>E. 17</w:t>
      </w:r>
    </w:p>
    <w:p>
      <w:r>
        <w:t>Pour ce qui est d’une éventuelle aide au placement au sens de l’art. 18 al. 1 LAI, celle-ci pourra toujours être sollicitée par l’assuré directement auprès de l’OCAI, s’il fait preuve d’intérêt pour une telle prestation.</w:t>
      </w:r>
    </w:p>
    <w:p>
      <w:r>
        <w:t>A/3416/2007 - 15/15 -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