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ATAS/550/2024 vom 1. Juli 2024</w:t>
      </w:r>
    </w:p>
    <w:p>
      <w:r>
        <w:t>GE Cour de justice, 2024-07-01, FR</w:t>
      </w:r>
    </w:p>
    <w:p>
      <w:r>
        <w:rPr>
          <w:b/>
        </w:rPr>
        <w:t xml:space="preserve">Quelle: </w:t>
      </w:r>
      <w:r>
        <w:t>https://mcp.opencaselaw.ch/entscheid/ge_gerichte_ATAS_550_2024</w:t>
      </w:r>
    </w:p>
    <w:p>
      <w:r>
        <w:t>FR: GE_GERICHTE ATAS/550/2024 du 1 juillet 2024</w:t>
      </w:r>
    </w:p>
    <w:p>
      <w:r>
        <w:t>IT: GE_GERICHTE ATAS/550/2024 del 1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Au vu des conclusions des parties, le litige porte sur le droit de la recourante à une rente d'invalidité postérieurement au 31 octobre 2022, dans la mesure où il n'est plus contesté qu'une rente doit être versée jusqu'à cette date, et non jusqu'au 30 avril 2022, comme retenu dans la décision querellée.</w:t>
      </w:r>
    </w:p>
    <w:p>
      <w:r>
        <w:rPr>
          <w:b/>
        </w:rPr>
        <w:t>E. 3</w:t>
      </w:r>
    </w:p>
    <w:p>
      <w:r>
        <w:t>Par renvoi de l'art. 1 al. 1 LAI, les dispositions de la LPGA s'appliquent à l'assurance-invalidité, à moins que la loi n'y déroge expressément.</w:t>
      </w:r>
    </w:p>
    <w:p>
      <w:r>
        <w:rPr>
          <w:b/>
        </w:rPr>
        <w:t>E. 3.1</w:t>
      </w:r>
    </w:p>
    <w:p>
      <w:r>
        <w:t>Le 1er janvier 2021 est entrée en vigueur la modification du 21 juin 2019 de la LPGA. Dans la mesure où le recours a été interjeté postérieurement au 1er janvier 2021, il est soumis au nouveau droit (cf. art. 82a LPGA a contrario).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Dans les cas de révision selon l'art. 17 LPGA, les mêmes principes généraux du droit intertemporel conduisent à évaluer, selon la situation juridique en vigueur jusqu’au 31 décembre 2021, si une modification déterminante pour le droit à la rente est intervenue jusqu’à cette date. Si tel est le cas, les dispositions de la LAI</w:t>
      </w:r>
    </w:p>
    <w:p>
      <w:r>
        <w:t>A/3751/2023 - 12/23 -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Il sied par ailleurs de rappeler qu'une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 En l’occurrence, il n’est pas contesté que le droit à la rente est né antérieurement au 1er janvier 2022. Toutefois, dans la mesure où une modification de la situation de fait limitant le droit à la rente est intervenue, selon l'intimé, après cette date, les dispositions applicables seront citées dans leur nouvelle teneur.</w:t>
      </w:r>
    </w:p>
    <w:p>
      <w:r>
        <w:rPr>
          <w:b/>
        </w:rPr>
        <w:t>E. 4</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 / détérioré depuis le mois de novembre 2019 ? Qu'en est-il en particulier depuis l'expertise psychiatrique de 2022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t>A/3751/2023 - 13/23 - Une rente n'est pas octroyée tant que toutes les possibilités de réadaptation au sens de l'art. 8 al. 1bis et 1ter n'ont pas été épuisées (art. 28 al. 1bis LAI). Selon la jurisprudence, si l'assuré peut prétendre à des prestations de l'assurance- 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t>6. Cohérence</w:t>
      </w:r>
    </w:p>
    <w:p>
      <w:r>
        <w:t>A/3751/2023 - 21/23 -</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t>A/3751/2023 - 19/23 -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 7. Traitement</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t>A/3751/2023 - 14/23 -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la personnalité ou de ces traits de la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w:t>
      </w:r>
    </w:p>
    <w:p>
      <w:r>
        <w:t>A/3751/2023 - 15/23 -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t>9. Capacité de travail</w:t>
      </w:r>
    </w:p>
    <w:p>
      <w:r>
        <w:t>A/3751/2023 - 22/23 -</w:t>
      </w:r>
    </w:p>
    <w:p>
      <w:r>
        <w:rPr>
          <w:b/>
        </w:rPr>
        <w:t>E. 8.3</w:t>
      </w:r>
    </w:p>
    <w:p>
      <w:r>
        <w:t>Êtes-vous d'accord avec l’avis du SMR, soit de la docteure N______, du 12 janvier 2024, qui retient une capacité de travail nulle dans l’activité habituelle et de 100% dans une activité adaptée, dès le 7 juillet 2022 ? Si non, pourquoi ?</w:t>
      </w:r>
    </w:p>
    <w:p>
      <w:r>
        <w:rPr>
          <w:b/>
        </w:rPr>
        <w:t>E. 9</w:t>
      </w:r>
    </w:p>
    <w:p>
      <w:r>
        <w:t>Quel est le pronostic ?</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le mois de novembre 2019 en particulier depuis l'expertise psychiatrique de 2022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 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Effectuer un dosage sanguin en cas de traitement psychotrope.</w:t>
      </w:r>
    </w:p>
    <w:p>
      <w:r>
        <w:rPr>
          <w:b/>
        </w:rPr>
        <w:t>E. 11</w:t>
      </w:r>
    </w:p>
    <w:p>
      <w:r>
        <w:t>Appréciation d'avis médicaux du dossier</w:t>
      </w:r>
    </w:p>
    <w:p>
      <w:r>
        <w:rPr>
          <w:b/>
        </w:rPr>
        <w:t>E. 11.1</w:t>
      </w:r>
    </w:p>
    <w:p>
      <w:r>
        <w:t>Êtes-vous d’accord avec les conclusions de l'expertise du docteur I______ du 19 octobre 2022 et son avis complémentaire du 7 décembre 2022 ? En particulier avec les diagnostics posés, les limitations fonctionnelles constatées et l’estimation d’une capacité de travail de 100% ? Ces conclusions sont-elles toujours d'actualité? Si non, pourquoi et depuis quand ?</w:t>
      </w:r>
    </w:p>
    <w:p>
      <w:r>
        <w:t>A/3751/2023 - 23/23 -</w:t>
      </w:r>
    </w:p>
    <w:p>
      <w:r>
        <w:rPr>
          <w:b/>
        </w:rPr>
        <w:t>E. 11.2</w:t>
      </w:r>
    </w:p>
    <w:p>
      <w:r>
        <w:t>Êtes-vous d'accord avec l'avis de la Dre E______ du 23 mars 2023 ? En particulier avec le diagnostic posé, les limitations fonctionnelles constatées et l'estimation d'une capacité de travail de 20% dans une activité adaptée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H. Invite l’expert à faire une appréciation consensuelle du cas avec le Dr L______ s’agissant de toutes les problématiques ayant des interférences entre elles, notamment l’appréciation de la capacité de travail résiduelle. I. Invite l’expert à déposer, dans les meilleurs délais, un rapport en trois exemplaires auprès de la chambre de céans. III. Réserve le fond ainsi que le sort des frais jusqu’à droit jugé au fond.</w:t>
      </w:r>
    </w:p>
    <w:p>
      <w:r>
        <w:t>La greffière</w:t>
      </w:r>
    </w:p>
    <w:p>
      <w:r>
        <w:t>Véronique SERAIN</w:t>
      </w:r>
    </w:p>
    <w:p>
      <w:r>
        <w:t>Le président</w:t>
      </w:r>
    </w:p>
    <w:p>
      <w:r>
        <w:t>Philippe KNUPFER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